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250825</wp:posOffset>
            </wp:positionH>
            <wp:positionV relativeFrom="page">
              <wp:posOffset>697230</wp:posOffset>
            </wp:positionV>
            <wp:extent cx="70548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4850" cy="8255"/>
                    </a:xfrm>
                    <a:prstGeom prst="rect">
                      <a:avLst/>
                    </a:prstGeom>
                    <a:noFill/>
                  </pic:spPr>
                </pic:pic>
              </a:graphicData>
            </a:graphic>
          </wp:anchor>
        </w:drawing>
        <w:drawing>
          <wp:anchor simplePos="0" relativeHeight="251657728" behindDoc="1" locked="0" layoutInCell="0" allowOverlap="1">
            <wp:simplePos x="0" y="0"/>
            <wp:positionH relativeFrom="page">
              <wp:posOffset>250825</wp:posOffset>
            </wp:positionH>
            <wp:positionV relativeFrom="page">
              <wp:posOffset>662940</wp:posOffset>
            </wp:positionV>
            <wp:extent cx="7054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485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9"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7"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131" w:lineRule="exact"/>
        <w:rPr>
          <w:sz w:val="24"/>
          <w:szCs w:val="24"/>
          <w:color w:val="auto"/>
        </w:rPr>
      </w:pPr>
    </w:p>
    <w:p>
      <w:pPr>
        <w:ind w:left="660" w:hanging="40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41" w:lineRule="exact"/>
        <w:rPr>
          <w:sz w:val="24"/>
          <w:szCs w:val="24"/>
          <w:color w:val="auto"/>
        </w:rPr>
      </w:pPr>
    </w:p>
    <w:p>
      <w:pPr>
        <w:ind w:left="660" w:hanging="40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3"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transition period from to</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000-32191</w:t>
      </w:r>
    </w:p>
    <w:p>
      <w:pPr>
        <w:spacing w:after="0" w:line="27"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 ROWE PRICE GROUP,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182" w:right="339" w:bottom="1440" w:gutter="0" w:footer="0" w:header="0"/>
        </w:sectPr>
      </w:pPr>
    </w:p>
    <w:p>
      <w:pPr>
        <w:spacing w:after="0" w:line="126" w:lineRule="exact"/>
        <w:rPr>
          <w:sz w:val="24"/>
          <w:szCs w:val="24"/>
          <w:color w:val="auto"/>
        </w:rPr>
      </w:pPr>
    </w:p>
    <w:p>
      <w:pPr>
        <w:ind w:left="230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52-2264646</w:t>
      </w:r>
    </w:p>
    <w:p>
      <w:pPr>
        <w:spacing w:after="0" w:line="51" w:lineRule="exact"/>
        <w:rPr>
          <w:sz w:val="24"/>
          <w:szCs w:val="24"/>
          <w:color w:val="auto"/>
        </w:rPr>
      </w:pPr>
    </w:p>
    <w:p>
      <w:pPr>
        <w:sectPr>
          <w:pgSz w:w="11900" w:h="16838" w:orient="portrait"/>
          <w:cols w:equalWidth="0" w:num="2">
            <w:col w:w="7220" w:space="720"/>
            <w:col w:w="3300"/>
          </w:cols>
          <w:pgMar w:left="320" w:top="1182" w:right="339" w:bottom="1440" w:gutter="0" w:footer="0" w:header="0"/>
          <w:type w:val="continuous"/>
        </w:sectPr>
      </w:pPr>
    </w:p>
    <w:p>
      <w:pPr>
        <w:ind w:left="1900"/>
        <w:spacing w:after="0"/>
        <w:rPr>
          <w:sz w:val="20"/>
          <w:szCs w:val="20"/>
          <w:color w:val="auto"/>
        </w:rPr>
      </w:pPr>
      <w:r>
        <w:rPr>
          <w:rFonts w:ascii="Arial" w:cs="Arial" w:eastAsia="Arial" w:hAnsi="Arial"/>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173" w:lineRule="exact"/>
        <w:rPr>
          <w:sz w:val="24"/>
          <w:szCs w:val="24"/>
          <w:color w:val="auto"/>
        </w:rPr>
      </w:pPr>
    </w:p>
    <w:p>
      <w:pPr>
        <w:sectPr>
          <w:pgSz w:w="11900" w:h="16838" w:orient="portrait"/>
          <w:cols w:equalWidth="0" w:num="2">
            <w:col w:w="6520" w:space="720"/>
            <w:col w:w="4000"/>
          </w:cols>
          <w:pgMar w:left="320" w:top="1182" w:right="339" w:bottom="1440" w:gutter="0" w:footer="0" w:header="0"/>
          <w:type w:val="continuous"/>
        </w:sectPr>
      </w:pPr>
    </w:p>
    <w:p>
      <w:pPr>
        <w:ind w:left="3560"/>
        <w:spacing w:after="0"/>
        <w:rPr>
          <w:sz w:val="20"/>
          <w:szCs w:val="20"/>
          <w:color w:val="auto"/>
        </w:rPr>
      </w:pPr>
      <w:r>
        <w:rPr>
          <w:rFonts w:ascii="Arial" w:cs="Arial" w:eastAsia="Arial" w:hAnsi="Arial"/>
          <w:sz w:val="18"/>
          <w:szCs w:val="18"/>
          <w:b w:val="1"/>
          <w:bCs w:val="1"/>
          <w:color w:val="auto"/>
        </w:rPr>
        <w:t>100 East Pratt Street, Baltimore, Maryland 21202</w:t>
      </w:r>
    </w:p>
    <w:p>
      <w:pPr>
        <w:spacing w:after="0" w:line="33" w:lineRule="exact"/>
        <w:rPr>
          <w:sz w:val="24"/>
          <w:szCs w:val="24"/>
          <w:color w:val="auto"/>
        </w:rPr>
      </w:pPr>
    </w:p>
    <w:p>
      <w:pPr>
        <w:ind w:left="3580"/>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(410) 345-2000</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68" w:lineRule="exact"/>
        <w:rPr>
          <w:sz w:val="24"/>
          <w:szCs w:val="24"/>
          <w:color w:val="auto"/>
        </w:rPr>
      </w:pPr>
    </w:p>
    <w:p>
      <w:pPr>
        <w:ind w:left="4980"/>
        <w:spacing w:after="0"/>
        <w:rPr>
          <w:sz w:val="20"/>
          <w:szCs w:val="20"/>
          <w:color w:val="auto"/>
        </w:rPr>
      </w:pPr>
      <w:r>
        <w:rPr>
          <w:rFonts w:ascii="Arial" w:cs="Arial" w:eastAsia="Arial" w:hAnsi="Arial"/>
          <w:sz w:val="14"/>
          <w:szCs w:val="14"/>
          <w:color w:val="auto"/>
        </w:rPr>
        <w:t>________________</w:t>
      </w:r>
    </w:p>
    <w:p>
      <w:pPr>
        <w:spacing w:after="0" w:line="193" w:lineRule="exact"/>
        <w:rPr>
          <w:sz w:val="24"/>
          <w:szCs w:val="24"/>
          <w:color w:val="auto"/>
        </w:rPr>
      </w:pPr>
    </w:p>
    <w:tbl>
      <w:tblPr>
        <w:tblLayout w:type="fixed"/>
        <w:tblInd w:w="30" w:type="dxa"/>
        <w:tblCellMar>
          <w:top w:w="0" w:type="dxa"/>
          <w:left w:w="0" w:type="dxa"/>
          <w:bottom w:w="0" w:type="dxa"/>
          <w:right w:w="0" w:type="dxa"/>
        </w:tblCellMar>
      </w:tblPr>
      <w:tr>
        <w:trPr>
          <w:trHeight w:val="215"/>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4"/>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Common Stock, $.20 par value per share</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TROW</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The NASDAQ Stock Market LLC</w:t>
            </w:r>
          </w:p>
        </w:tc>
      </w:tr>
    </w:tbl>
    <w:p>
      <w:pPr>
        <w:spacing w:after="0" w:line="72" w:lineRule="exact"/>
        <w:rPr>
          <w:sz w:val="24"/>
          <w:szCs w:val="24"/>
          <w:color w:val="auto"/>
        </w:rPr>
      </w:pPr>
    </w:p>
    <w:p>
      <w:pPr>
        <w:ind w:left="4740"/>
        <w:spacing w:after="0"/>
        <w:rPr>
          <w:sz w:val="20"/>
          <w:szCs w:val="20"/>
          <w:color w:val="auto"/>
        </w:rPr>
      </w:pPr>
      <w:r>
        <w:rPr>
          <w:rFonts w:ascii="Arial" w:cs="Arial" w:eastAsia="Arial" w:hAnsi="Arial"/>
          <w:sz w:val="14"/>
          <w:szCs w:val="14"/>
          <w:color w:val="auto"/>
        </w:rPr>
        <w:t>______________________</w:t>
      </w:r>
    </w:p>
    <w:p>
      <w:pPr>
        <w:spacing w:after="0" w:line="77" w:lineRule="exact"/>
        <w:rPr>
          <w:sz w:val="24"/>
          <w:szCs w:val="24"/>
          <w:color w:val="auto"/>
        </w:rPr>
      </w:pPr>
    </w:p>
    <w:p>
      <w:pPr>
        <w:ind w:right="60"/>
        <w:spacing w:after="0" w:line="20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05" w:lineRule="exact"/>
        <w:rPr>
          <w:sz w:val="24"/>
          <w:szCs w:val="24"/>
          <w:color w:val="auto"/>
        </w:rPr>
      </w:pPr>
    </w:p>
    <w:p>
      <w:pPr>
        <w:ind w:right="480"/>
        <w:spacing w:after="0" w:line="19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36" w:lineRule="exact"/>
        <w:rPr>
          <w:sz w:val="24"/>
          <w:szCs w:val="24"/>
          <w:color w:val="auto"/>
        </w:rPr>
      </w:pPr>
    </w:p>
    <w:p>
      <w:pPr>
        <w:ind w:right="8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19"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49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80"/>
              <w:spacing w:after="0"/>
              <w:rPr>
                <w:sz w:val="20"/>
                <w:szCs w:val="20"/>
                <w:color w:val="auto"/>
              </w:rPr>
            </w:pPr>
            <w:r>
              <w:rPr>
                <w:rFonts w:ascii="Arial" w:cs="Arial" w:eastAsia="Arial" w:hAnsi="Arial"/>
                <w:sz w:val="16"/>
                <w:szCs w:val="16"/>
                <w:color w:val="auto"/>
              </w:rPr>
              <w:t>Accelerated filer</w:t>
            </w:r>
          </w:p>
        </w:tc>
        <w:tc>
          <w:tcPr>
            <w:tcW w:w="184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4960" w:type="dxa"/>
            <w:vAlign w:val="bottom"/>
          </w:tcPr>
          <w:p>
            <w:pPr>
              <w:spacing w:after="0"/>
              <w:rPr>
                <w:sz w:val="24"/>
                <w:szCs w:val="24"/>
                <w:color w:val="auto"/>
              </w:rPr>
            </w:pPr>
          </w:p>
        </w:tc>
        <w:tc>
          <w:tcPr>
            <w:tcW w:w="5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80"/>
              <w:spacing w:after="0"/>
              <w:rPr>
                <w:sz w:val="20"/>
                <w:szCs w:val="20"/>
                <w:color w:val="auto"/>
              </w:rPr>
            </w:pPr>
            <w:r>
              <w:rPr>
                <w:rFonts w:ascii="Arial" w:cs="Arial" w:eastAsia="Arial" w:hAnsi="Arial"/>
                <w:sz w:val="16"/>
                <w:szCs w:val="16"/>
                <w:color w:val="auto"/>
              </w:rPr>
              <w:t>Smaller reporting company</w:t>
            </w:r>
          </w:p>
        </w:tc>
        <w:tc>
          <w:tcPr>
            <w:tcW w:w="184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4960" w:type="dxa"/>
            <w:vAlign w:val="bottom"/>
          </w:tcPr>
          <w:p>
            <w:pPr>
              <w:spacing w:after="0"/>
              <w:rPr>
                <w:sz w:val="20"/>
                <w:szCs w:val="20"/>
                <w:color w:val="auto"/>
              </w:rPr>
            </w:pPr>
            <w:r>
              <w:rPr>
                <w:rFonts w:ascii="Arial" w:cs="Arial" w:eastAsia="Arial" w:hAnsi="Arial"/>
                <w:sz w:val="16"/>
                <w:szCs w:val="16"/>
                <w:color w:val="auto"/>
              </w:rPr>
              <w:t>Non-accelerated filer (do not check if smaller reporting company)</w:t>
            </w:r>
          </w:p>
        </w:tc>
        <w:tc>
          <w:tcPr>
            <w:tcW w:w="560" w:type="dxa"/>
            <w:vAlign w:val="bottom"/>
          </w:tcPr>
          <w:p>
            <w:pPr>
              <w:spacing w:after="0"/>
              <w:rPr>
                <w:sz w:val="22"/>
                <w:szCs w:val="22"/>
                <w:color w:val="auto"/>
              </w:rPr>
            </w:pPr>
          </w:p>
        </w:tc>
        <w:tc>
          <w:tcPr>
            <w:tcW w:w="3700" w:type="dxa"/>
            <w:vAlign w:val="bottom"/>
          </w:tcPr>
          <w:p>
            <w:pPr>
              <w:ind w:left="80"/>
              <w:spacing w:after="0"/>
              <w:rPr>
                <w:sz w:val="20"/>
                <w:szCs w:val="20"/>
                <w:color w:val="auto"/>
              </w:rPr>
            </w:pPr>
            <w:r>
              <w:rPr>
                <w:rFonts w:ascii="Arial" w:cs="Arial" w:eastAsia="Arial" w:hAnsi="Arial"/>
                <w:sz w:val="16"/>
                <w:szCs w:val="16"/>
                <w:color w:val="auto"/>
              </w:rPr>
              <w:t>Emerging growth company</w:t>
            </w:r>
          </w:p>
        </w:tc>
        <w:tc>
          <w:tcPr>
            <w:tcW w:w="184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36" w:lineRule="exact"/>
        <w:rPr>
          <w:sz w:val="24"/>
          <w:szCs w:val="24"/>
          <w:color w:val="auto"/>
        </w:rPr>
      </w:pPr>
    </w:p>
    <w:p>
      <w:pPr>
        <w:jc w:val="both"/>
        <w:ind w:right="140"/>
        <w:spacing w:after="0" w:line="209" w:lineRule="exact"/>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6"/>
          <w:szCs w:val="16"/>
          <w:color w:val="auto"/>
        </w:rPr>
        <w:t>☐</w:t>
      </w:r>
    </w:p>
    <w:p>
      <w:pPr>
        <w:spacing w:after="0" w:line="30" w:lineRule="exact"/>
        <w:rPr>
          <w:sz w:val="24"/>
          <w:szCs w:val="24"/>
          <w:color w:val="auto"/>
        </w:rPr>
      </w:pPr>
    </w:p>
    <w:p>
      <w:pPr>
        <w:spacing w:after="0" w:line="184" w:lineRule="exact"/>
        <w:tabs>
          <w:tab w:leader="none" w:pos="880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125" w:lineRule="exact"/>
        <w:rPr>
          <w:sz w:val="24"/>
          <w:szCs w:val="24"/>
          <w:color w:val="auto"/>
        </w:rPr>
      </w:pPr>
    </w:p>
    <w:p>
      <w:pPr>
        <w:ind w:right="3080"/>
        <w:spacing w:after="0" w:line="304" w:lineRule="auto"/>
        <w:rPr>
          <w:sz w:val="20"/>
          <w:szCs w:val="20"/>
          <w:color w:val="auto"/>
        </w:rPr>
      </w:pPr>
      <w:r>
        <w:rPr>
          <w:rFonts w:ascii="Arial" w:cs="Arial" w:eastAsia="Arial" w:hAnsi="Arial"/>
          <w:sz w:val="16"/>
          <w:szCs w:val="16"/>
          <w:color w:val="auto"/>
        </w:rPr>
        <w:t>The number of shares outstanding of the issuer’s common stock ($.20 par value), as of the latest practicable date, April 26, 2022, is 227,296,619.</w:t>
      </w:r>
    </w:p>
    <w:p>
      <w:pPr>
        <w:spacing w:after="0" w:line="20" w:lineRule="exact"/>
        <w:rPr>
          <w:sz w:val="24"/>
          <w:szCs w:val="24"/>
          <w:color w:val="auto"/>
        </w:rPr>
      </w:pPr>
    </w:p>
    <w:p>
      <w:pPr>
        <w:spacing w:after="0"/>
        <w:rPr>
          <w:sz w:val="20"/>
          <w:szCs w:val="20"/>
          <w:color w:val="auto"/>
        </w:rPr>
      </w:pPr>
      <w:r>
        <w:rPr>
          <w:rFonts w:ascii="Arial" w:cs="Arial" w:eastAsia="Arial" w:hAnsi="Arial"/>
          <w:sz w:val="16"/>
          <w:szCs w:val="16"/>
          <w:color w:val="auto"/>
        </w:rPr>
        <w:t>The exhibit index is at Item 6 on page 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788035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054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48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7054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ectPr>
          <w:pgSz w:w="11900" w:h="16838" w:orient="portrait"/>
          <w:cols w:equalWidth="0" w:num="1">
            <w:col w:w="11240"/>
          </w:cols>
          <w:pgMar w:left="320" w:top="1182"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data)</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b w:val="1"/>
                <w:bCs w:val="1"/>
                <w:color w:val="auto"/>
              </w:rPr>
              <w:t>3/31/2022</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12/31/2021</w:t>
            </w:r>
          </w:p>
        </w:tc>
        <w:tc>
          <w:tcPr>
            <w:tcW w:w="0" w:type="dxa"/>
            <w:vAlign w:val="bottom"/>
          </w:tcPr>
          <w:p>
            <w:pPr>
              <w:spacing w:after="0"/>
              <w:rPr>
                <w:sz w:val="1"/>
                <w:szCs w:val="1"/>
                <w:color w:val="auto"/>
              </w:rPr>
            </w:pPr>
          </w:p>
        </w:tc>
      </w:tr>
      <w:tr>
        <w:trPr>
          <w:trHeight w:val="20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1,523.1</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Accounts receivable and accrued revenue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919.5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1,058.3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2,975.5</w:t>
            </w:r>
          </w:p>
        </w:tc>
        <w:tc>
          <w:tcPr>
            <w:tcW w:w="0" w:type="dxa"/>
            <w:vAlign w:val="bottom"/>
          </w:tcPr>
          <w:p>
            <w:pPr>
              <w:spacing w:after="0"/>
              <w:rPr>
                <w:sz w:val="1"/>
                <w:szCs w:val="1"/>
                <w:color w:val="auto"/>
              </w:rPr>
            </w:pPr>
          </w:p>
        </w:tc>
      </w:tr>
      <w:tr>
        <w:trPr>
          <w:trHeight w:val="176"/>
        </w:trPr>
        <w:tc>
          <w:tcPr>
            <w:tcW w:w="8240" w:type="dxa"/>
            <w:vAlign w:val="bottom"/>
          </w:tcPr>
          <w:p>
            <w:pPr>
              <w:ind w:left="20"/>
              <w:spacing w:after="0" w:line="176" w:lineRule="exact"/>
              <w:rPr>
                <w:sz w:val="20"/>
                <w:szCs w:val="20"/>
                <w:color w:val="auto"/>
              </w:rPr>
            </w:pPr>
            <w:r>
              <w:rPr>
                <w:rFonts w:ascii="Arial" w:cs="Arial" w:eastAsia="Arial" w:hAnsi="Arial"/>
                <w:sz w:val="18"/>
                <w:szCs w:val="18"/>
                <w:color w:val="auto"/>
              </w:rPr>
              <w:t>Assets of consolidated T. Rowe Price investment products ($1,501.0 million at March 31, 2022 and</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1,658.2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1,962.8</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$1,761.5 million at December 31, 2021, related to variable interest entities)</w:t>
            </w:r>
          </w:p>
        </w:tc>
        <w:tc>
          <w:tcPr>
            <w:tcW w:w="2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Property, equipment and software,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736.2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913.4</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2,643.9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2,693.2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12,348.0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12,509.0</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w:t>
            </w:r>
          </w:p>
        </w:tc>
        <w:tc>
          <w:tcPr>
            <w:tcW w:w="0" w:type="dxa"/>
            <w:vAlign w:val="bottom"/>
          </w:tcPr>
          <w:p>
            <w:pPr>
              <w:spacing w:after="0"/>
              <w:rPr>
                <w:sz w:val="1"/>
                <w:szCs w:val="1"/>
                <w:color w:val="auto"/>
              </w:rPr>
            </w:pPr>
          </w:p>
        </w:tc>
      </w:tr>
      <w:tr>
        <w:trPr>
          <w:trHeight w:val="176"/>
        </w:trPr>
        <w:tc>
          <w:tcPr>
            <w:tcW w:w="8240" w:type="dxa"/>
            <w:vAlign w:val="bottom"/>
          </w:tcPr>
          <w:p>
            <w:pPr>
              <w:ind w:left="140"/>
              <w:spacing w:after="0" w:line="176" w:lineRule="exact"/>
              <w:rPr>
                <w:sz w:val="20"/>
                <w:szCs w:val="20"/>
                <w:color w:val="auto"/>
              </w:rPr>
            </w:pPr>
            <w:r>
              <w:rPr>
                <w:rFonts w:ascii="Arial" w:cs="Arial" w:eastAsia="Arial" w:hAnsi="Arial"/>
                <w:sz w:val="18"/>
                <w:szCs w:val="18"/>
                <w:color w:val="auto"/>
              </w:rPr>
              <w:t>Liabilities of consolidated T. Rowe Price investment products ($44.2 million at March 31, 2022 and</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$36.2 million at December 31, 2021, related to variable interest entities)</w:t>
            </w:r>
          </w:p>
        </w:tc>
        <w:tc>
          <w:tcPr>
            <w:tcW w:w="2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Accrued compensation and related costs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256.8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Supplemental savings plan liability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882.6</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Contingent consideration liability</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306.3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 payable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2,255.3</w:t>
            </w: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Commitments and contingent liabilities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Redeemable non-controlling interests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982.3</w:t>
            </w: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240" w:type="dxa"/>
            <w:vAlign w:val="bottom"/>
          </w:tcPr>
          <w:p>
            <w:pPr>
              <w:ind w:left="140"/>
              <w:spacing w:after="0" w:line="176" w:lineRule="exact"/>
              <w:rPr>
                <w:sz w:val="20"/>
                <w:szCs w:val="20"/>
                <w:color w:val="auto"/>
              </w:rPr>
            </w:pPr>
            <w:r>
              <w:rPr>
                <w:rFonts w:ascii="Arial" w:cs="Arial" w:eastAsia="Arial" w:hAnsi="Arial"/>
                <w:sz w:val="18"/>
                <w:szCs w:val="18"/>
                <w:color w:val="auto"/>
              </w:rPr>
              <w:t>Common stock, $.20 par value—authorized 750,000,000; issued 227,283,000 shares at March 31,</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2022 and 229,175,000 at December 31, 2021</w:t>
            </w:r>
          </w:p>
        </w:tc>
        <w:tc>
          <w:tcPr>
            <w:tcW w:w="2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capital in excess of par value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919.8</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8,372.2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8,083.6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3"/>
        </w:trPr>
        <w:tc>
          <w:tcPr>
            <w:tcW w:w="8240" w:type="dxa"/>
            <w:vAlign w:val="bottom"/>
          </w:tcPr>
          <w:p>
            <w:pPr>
              <w:ind w:left="140"/>
              <w:spacing w:after="0"/>
              <w:rPr>
                <w:sz w:val="20"/>
                <w:szCs w:val="20"/>
                <w:color w:val="auto"/>
              </w:rPr>
            </w:pPr>
            <w:r>
              <w:rPr>
                <w:rFonts w:ascii="Arial" w:cs="Arial" w:eastAsia="Arial" w:hAnsi="Arial"/>
                <w:sz w:val="18"/>
                <w:szCs w:val="18"/>
                <w:color w:val="auto"/>
              </w:rPr>
              <w:t>Total stockholders’ equity attributable to T. Rowe Price Group, Inc.</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9,054.4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9,022.7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 in consolidated entities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248.7</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permanent stockholders’ equity</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9,326.6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9,271.4</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redeemable non-controlling interests, and permanent stockholders’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12,509.0</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ind w:right="5180"/>
        <w:spacing w:after="0" w:line="296" w:lineRule="auto"/>
        <w:rPr>
          <w:sz w:val="20"/>
          <w:szCs w:val="20"/>
          <w:color w:val="auto"/>
        </w:rPr>
      </w:pPr>
      <w:r>
        <w:rPr>
          <w:rFonts w:ascii="Arial" w:cs="Arial" w:eastAsia="Arial" w:hAnsi="Arial"/>
          <w:sz w:val="18"/>
          <w:szCs w:val="18"/>
          <w:b w:val="1"/>
          <w:bCs w:val="1"/>
          <w:color w:val="auto"/>
        </w:rPr>
        <w:t>UNAUDITED CONDENSED CONSOLIDATED STATEMENTS OF INCOME (in millions, except per-share amounts)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2540" w:type="dxa"/>
            <w:vAlign w:val="bottom"/>
            <w:tcBorders>
              <w:bottom w:val="single" w:sz="8" w:color="auto"/>
            </w:tcBorders>
            <w:gridSpan w:val="4"/>
            <w:shd w:val="clear" w:color="auto" w:fill="CCEEFF"/>
          </w:tcPr>
          <w:p>
            <w:pPr>
              <w:jc w:val="right"/>
              <w:ind w:right="59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84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3/31/2022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3/31/2021</w:t>
            </w:r>
          </w:p>
        </w:tc>
        <w:tc>
          <w:tcPr>
            <w:tcW w:w="0" w:type="dxa"/>
            <w:vAlign w:val="bottom"/>
          </w:tcPr>
          <w:p>
            <w:pPr>
              <w:spacing w:after="0"/>
              <w:rPr>
                <w:sz w:val="1"/>
                <w:szCs w:val="1"/>
                <w:color w:val="auto"/>
              </w:rPr>
            </w:pPr>
          </w:p>
        </w:tc>
      </w:tr>
      <w:tr>
        <w:trPr>
          <w:trHeight w:val="211"/>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60" w:type="dxa"/>
            <w:vAlign w:val="bottom"/>
          </w:tcPr>
          <w:p>
            <w:pPr>
              <w:ind w:left="140"/>
              <w:spacing w:after="0"/>
              <w:rPr>
                <w:sz w:val="20"/>
                <w:szCs w:val="20"/>
                <w:color w:val="auto"/>
              </w:rPr>
            </w:pPr>
            <w:r>
              <w:rPr>
                <w:rFonts w:ascii="Arial" w:cs="Arial" w:eastAsia="Arial" w:hAnsi="Arial"/>
                <w:sz w:val="18"/>
                <w:szCs w:val="18"/>
                <w:color w:val="auto"/>
              </w:rPr>
              <w:t>Investment advisory fees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1,662.1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1,687.8</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allocation-based income</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Administrative, distribution, and servicing fees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23"/>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1,826.8</w:t>
            </w:r>
          </w:p>
        </w:tc>
        <w:tc>
          <w:tcPr>
            <w:tcW w:w="0" w:type="dxa"/>
            <w:vAlign w:val="bottom"/>
          </w:tcPr>
          <w:p>
            <w:pPr>
              <w:spacing w:after="0"/>
              <w:rPr>
                <w:sz w:val="1"/>
                <w:szCs w:val="1"/>
                <w:color w:val="auto"/>
              </w:rPr>
            </w:pPr>
          </w:p>
        </w:tc>
      </w:tr>
      <w:tr>
        <w:trPr>
          <w:trHeight w:val="250"/>
        </w:trPr>
        <w:tc>
          <w:tcPr>
            <w:tcW w:w="8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60" w:type="dxa"/>
            <w:vAlign w:val="bottom"/>
          </w:tcPr>
          <w:p>
            <w:pPr>
              <w:ind w:left="140"/>
              <w:spacing w:after="0"/>
              <w:rPr>
                <w:sz w:val="20"/>
                <w:szCs w:val="20"/>
                <w:color w:val="auto"/>
              </w:rPr>
            </w:pPr>
            <w:r>
              <w:rPr>
                <w:rFonts w:ascii="Arial" w:cs="Arial" w:eastAsia="Arial" w:hAnsi="Arial"/>
                <w:sz w:val="18"/>
                <w:szCs w:val="18"/>
                <w:color w:val="auto"/>
              </w:rPr>
              <w:t>Compensation and related costs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583.5</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 and servicing</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29"/>
        </w:trPr>
        <w:tc>
          <w:tcPr>
            <w:tcW w:w="8460" w:type="dxa"/>
            <w:vAlign w:val="bottom"/>
          </w:tcPr>
          <w:p>
            <w:pPr>
              <w:ind w:left="140"/>
              <w:spacing w:after="0"/>
              <w:rPr>
                <w:sz w:val="20"/>
                <w:szCs w:val="20"/>
                <w:color w:val="auto"/>
              </w:rPr>
            </w:pPr>
            <w:r>
              <w:rPr>
                <w:rFonts w:ascii="Arial" w:cs="Arial" w:eastAsia="Arial" w:hAnsi="Arial"/>
                <w:sz w:val="18"/>
                <w:szCs w:val="18"/>
                <w:color w:val="auto"/>
              </w:rPr>
              <w:t>Advertising and promotion</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and recordkeeping related costs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30"/>
        </w:trPr>
        <w:tc>
          <w:tcPr>
            <w:tcW w:w="8460" w:type="dxa"/>
            <w:vAlign w:val="bottom"/>
          </w:tcPr>
          <w:p>
            <w:pPr>
              <w:ind w:left="140"/>
              <w:spacing w:after="0"/>
              <w:rPr>
                <w:sz w:val="20"/>
                <w:szCs w:val="20"/>
                <w:color w:val="auto"/>
              </w:rPr>
            </w:pPr>
            <w:r>
              <w:rPr>
                <w:rFonts w:ascii="Arial" w:cs="Arial" w:eastAsia="Arial" w:hAnsi="Arial"/>
                <w:sz w:val="18"/>
                <w:szCs w:val="18"/>
                <w:color w:val="auto"/>
              </w:rPr>
              <w:t>Technology, occupancy, and facility costs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administrative, and other</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933.6</w:t>
            </w:r>
          </w:p>
        </w:tc>
        <w:tc>
          <w:tcPr>
            <w:tcW w:w="0" w:type="dxa"/>
            <w:vAlign w:val="bottom"/>
          </w:tcPr>
          <w:p>
            <w:pPr>
              <w:spacing w:after="0"/>
              <w:rPr>
                <w:sz w:val="1"/>
                <w:szCs w:val="1"/>
                <w:color w:val="auto"/>
              </w:rPr>
            </w:pPr>
          </w:p>
        </w:tc>
      </w:tr>
      <w:tr>
        <w:trPr>
          <w:trHeight w:val="250"/>
        </w:trPr>
        <w:tc>
          <w:tcPr>
            <w:tcW w:w="8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Net operating income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893.2</w:t>
            </w:r>
          </w:p>
        </w:tc>
        <w:tc>
          <w:tcPr>
            <w:tcW w:w="0" w:type="dxa"/>
            <w:vAlign w:val="bottom"/>
          </w:tcPr>
          <w:p>
            <w:pPr>
              <w:spacing w:after="0"/>
              <w:rPr>
                <w:sz w:val="1"/>
                <w:szCs w:val="1"/>
                <w:color w:val="auto"/>
              </w:rPr>
            </w:pPr>
          </w:p>
        </w:tc>
      </w:tr>
      <w:tr>
        <w:trPr>
          <w:trHeight w:val="270"/>
        </w:trPr>
        <w:tc>
          <w:tcPr>
            <w:tcW w:w="84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Non-operating income (loss)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gains (losses) on investments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29"/>
        </w:trPr>
        <w:tc>
          <w:tcPr>
            <w:tcW w:w="8460" w:type="dxa"/>
            <w:vAlign w:val="bottom"/>
          </w:tcPr>
          <w:p>
            <w:pPr>
              <w:ind w:left="140"/>
              <w:spacing w:after="0"/>
              <w:rPr>
                <w:sz w:val="20"/>
                <w:szCs w:val="20"/>
                <w:color w:val="auto"/>
              </w:rPr>
            </w:pPr>
            <w:r>
              <w:rPr>
                <w:rFonts w:ascii="Arial" w:cs="Arial" w:eastAsia="Arial" w:hAnsi="Arial"/>
                <w:sz w:val="18"/>
                <w:szCs w:val="18"/>
                <w:color w:val="auto"/>
              </w:rPr>
              <w:t>Net gains (losses) on consolidated investment products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(loss)</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non-operating income (loss)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50"/>
        </w:trPr>
        <w:tc>
          <w:tcPr>
            <w:tcW w:w="8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995.3</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0" w:type="dxa"/>
            <w:vAlign w:val="bottom"/>
          </w:tcPr>
          <w:p>
            <w:pPr>
              <w:spacing w:after="0"/>
              <w:rPr>
                <w:sz w:val="1"/>
                <w:szCs w:val="1"/>
                <w:color w:val="auto"/>
              </w:rPr>
            </w:pPr>
          </w:p>
        </w:tc>
      </w:tr>
      <w:tr>
        <w:trPr>
          <w:trHeight w:val="223"/>
        </w:trPr>
        <w:tc>
          <w:tcPr>
            <w:tcW w:w="84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764.8</w:t>
            </w:r>
          </w:p>
        </w:tc>
        <w:tc>
          <w:tcPr>
            <w:tcW w:w="0" w:type="dxa"/>
            <w:vAlign w:val="bottom"/>
          </w:tcPr>
          <w:p>
            <w:pPr>
              <w:spacing w:after="0"/>
              <w:rPr>
                <w:sz w:val="1"/>
                <w:szCs w:val="1"/>
                <w:color w:val="auto"/>
              </w:rPr>
            </w:pPr>
          </w:p>
        </w:tc>
      </w:tr>
      <w:tr>
        <w:trPr>
          <w:trHeight w:val="175"/>
        </w:trPr>
        <w:tc>
          <w:tcPr>
            <w:tcW w:w="84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Less: net income (loss) attributable to redeemable</w:t>
            </w:r>
          </w:p>
        </w:tc>
        <w:tc>
          <w:tcPr>
            <w:tcW w:w="2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43"/>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460" w:type="dxa"/>
            <w:vAlign w:val="bottom"/>
          </w:tcPr>
          <w:p>
            <w:pPr>
              <w:ind w:left="20"/>
              <w:spacing w:after="0"/>
              <w:rPr>
                <w:sz w:val="20"/>
                <w:szCs w:val="20"/>
                <w:color w:val="auto"/>
              </w:rPr>
            </w:pPr>
            <w:r>
              <w:rPr>
                <w:rFonts w:ascii="Arial" w:cs="Arial" w:eastAsia="Arial" w:hAnsi="Arial"/>
                <w:sz w:val="18"/>
                <w:szCs w:val="18"/>
                <w:color w:val="auto"/>
              </w:rPr>
              <w:t>Net income attributable to T. Rowe Price Group</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749.4</w:t>
            </w:r>
          </w:p>
        </w:tc>
        <w:tc>
          <w:tcPr>
            <w:tcW w:w="0" w:type="dxa"/>
            <w:vAlign w:val="bottom"/>
          </w:tcPr>
          <w:p>
            <w:pPr>
              <w:spacing w:after="0"/>
              <w:rPr>
                <w:sz w:val="1"/>
                <w:szCs w:val="1"/>
                <w:color w:val="auto"/>
              </w:rPr>
            </w:pP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Earnings per share on common stock of T. Rowe Price Group</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8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60" w:type="dxa"/>
            <w:vAlign w:val="bottom"/>
          </w:tcPr>
          <w:p>
            <w:pPr>
              <w:ind w:left="140"/>
              <w:spacing w:after="0" w:line="203" w:lineRule="exact"/>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2.41</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ind w:right="3560"/>
        <w:spacing w:after="0" w:line="296" w:lineRule="auto"/>
        <w:rPr>
          <w:sz w:val="20"/>
          <w:szCs w:val="20"/>
          <w:color w:val="auto"/>
        </w:rPr>
      </w:pPr>
      <w:r>
        <w:rPr>
          <w:rFonts w:ascii="Arial" w:cs="Arial" w:eastAsia="Arial" w:hAnsi="Arial"/>
          <w:sz w:val="18"/>
          <w:szCs w:val="18"/>
          <w:b w:val="1"/>
          <w:bCs w:val="1"/>
          <w:color w:val="auto"/>
        </w:rPr>
        <w:t>UNAUDITED CONDENSED CONSOLIDATED STATEMENTS OF COMPREHENSIVE INCOME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680" w:type="dxa"/>
            <w:vAlign w:val="bottom"/>
            <w:tcBorders>
              <w:bottom w:val="single" w:sz="8" w:color="auto"/>
            </w:tcBorders>
            <w:gridSpan w:val="4"/>
            <w:shd w:val="clear" w:color="auto" w:fill="CCEEFF"/>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3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3/31/2022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3/31/2021</w:t>
            </w:r>
          </w:p>
        </w:tc>
      </w:tr>
      <w:tr>
        <w:trPr>
          <w:trHeight w:val="251"/>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514.4</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764.8</w:t>
            </w:r>
          </w:p>
        </w:tc>
      </w:tr>
      <w:tr>
        <w:trPr>
          <w:trHeight w:val="227"/>
        </w:trPr>
        <w:tc>
          <w:tcPr>
            <w:tcW w:w="83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
        </w:trPr>
        <w:tc>
          <w:tcPr>
            <w:tcW w:w="8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Currency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70"/>
        </w:trPr>
        <w:tc>
          <w:tcPr>
            <w:tcW w:w="8300" w:type="dxa"/>
            <w:vAlign w:val="bottom"/>
          </w:tcPr>
          <w:p>
            <w:pPr>
              <w:ind w:left="220"/>
              <w:spacing w:after="0"/>
              <w:rPr>
                <w:sz w:val="20"/>
                <w:szCs w:val="20"/>
                <w:color w:val="auto"/>
              </w:rPr>
            </w:pPr>
            <w:r>
              <w:rPr>
                <w:rFonts w:ascii="Arial" w:cs="Arial" w:eastAsia="Arial" w:hAnsi="Arial"/>
                <w:sz w:val="18"/>
                <w:szCs w:val="18"/>
                <w:color w:val="auto"/>
              </w:rPr>
              <w:t>Consolidated T. Rowe Price investment products - variable interest entities</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24"/>
        </w:trPr>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Reclassification gains recognized in non-operating income upon deconsolidation of certain T. Rowe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62"/>
        </w:trPr>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Price investment products</w:t>
            </w:r>
          </w:p>
        </w:tc>
        <w:tc>
          <w:tcPr>
            <w:tcW w:w="2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04"/>
        </w:trPr>
        <w:tc>
          <w:tcPr>
            <w:tcW w:w="8300" w:type="dxa"/>
            <w:vAlign w:val="bottom"/>
          </w:tcPr>
          <w:p>
            <w:pPr>
              <w:ind w:left="220"/>
              <w:spacing w:after="0" w:line="204" w:lineRule="exact"/>
              <w:rPr>
                <w:sz w:val="20"/>
                <w:szCs w:val="20"/>
                <w:color w:val="auto"/>
              </w:rPr>
            </w:pPr>
            <w:r>
              <w:rPr>
                <w:rFonts w:ascii="Arial" w:cs="Arial" w:eastAsia="Arial" w:hAnsi="Arial"/>
                <w:sz w:val="18"/>
                <w:szCs w:val="18"/>
                <w:color w:val="auto"/>
              </w:rPr>
              <w:t>Total currency translation adjustments of consolidated T. Rowe Price investment products - variable</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62"/>
        </w:trPr>
        <w:tc>
          <w:tcPr>
            <w:tcW w:w="8300" w:type="dxa"/>
            <w:vAlign w:val="bottom"/>
          </w:tcPr>
          <w:p>
            <w:pPr>
              <w:ind w:left="220"/>
              <w:spacing w:after="0"/>
              <w:rPr>
                <w:sz w:val="20"/>
                <w:szCs w:val="20"/>
                <w:color w:val="auto"/>
              </w:rPr>
            </w:pPr>
            <w:r>
              <w:rPr>
                <w:rFonts w:ascii="Arial" w:cs="Arial" w:eastAsia="Arial" w:hAnsi="Arial"/>
                <w:sz w:val="18"/>
                <w:szCs w:val="18"/>
                <w:color w:val="auto"/>
              </w:rPr>
              <w:t>interest entities</w:t>
            </w: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70"/>
        </w:trPr>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method investments</w:t>
            </w:r>
          </w:p>
        </w:tc>
        <w:tc>
          <w:tcPr>
            <w:tcW w:w="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50"/>
        </w:trPr>
        <w:tc>
          <w:tcPr>
            <w:tcW w:w="8300" w:type="dxa"/>
            <w:vAlign w:val="bottom"/>
          </w:tcPr>
          <w:p>
            <w:pPr>
              <w:ind w:left="20"/>
              <w:spacing w:after="0"/>
              <w:rPr>
                <w:sz w:val="20"/>
                <w:szCs w:val="20"/>
                <w:color w:val="auto"/>
              </w:rPr>
            </w:pPr>
            <w:r>
              <w:rPr>
                <w:rFonts w:ascii="Arial" w:cs="Arial" w:eastAsia="Arial" w:hAnsi="Arial"/>
                <w:sz w:val="18"/>
                <w:szCs w:val="18"/>
                <w:color w:val="auto"/>
              </w:rPr>
              <w:t>Other comprehensive income (loss) before income taxes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70"/>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deferred tax (expense) benefits</w:t>
            </w:r>
          </w:p>
        </w:tc>
        <w:tc>
          <w:tcPr>
            <w:tcW w:w="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50"/>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r>
      <w:tr>
        <w:trPr>
          <w:trHeight w:val="142"/>
        </w:trPr>
        <w:tc>
          <w:tcPr>
            <w:tcW w:w="8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270"/>
        </w:trPr>
        <w:tc>
          <w:tcPr>
            <w:tcW w:w="830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499.6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745.5</w:t>
            </w:r>
          </w:p>
        </w:tc>
      </w:tr>
      <w:tr>
        <w:trPr>
          <w:trHeight w:val="270"/>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comprehensive income (loss) attributable to redeemable non-controlling interests</w:t>
            </w:r>
          </w:p>
        </w:tc>
        <w:tc>
          <w:tcPr>
            <w:tcW w:w="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8300" w:type="dxa"/>
            <w:vAlign w:val="bottom"/>
          </w:tcPr>
          <w:p>
            <w:pPr>
              <w:ind w:left="20"/>
              <w:spacing w:after="0"/>
              <w:rPr>
                <w:sz w:val="20"/>
                <w:szCs w:val="20"/>
                <w:color w:val="auto"/>
              </w:rPr>
            </w:pPr>
            <w:r>
              <w:rPr>
                <w:rFonts w:ascii="Arial" w:cs="Arial" w:eastAsia="Arial" w:hAnsi="Arial"/>
                <w:sz w:val="18"/>
                <w:szCs w:val="18"/>
                <w:color w:val="auto"/>
              </w:rPr>
              <w:t>Total comprehensive income attributable to T. Rowe Price Group</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741.9</w:t>
            </w:r>
          </w:p>
        </w:tc>
      </w:tr>
      <w:tr>
        <w:trPr>
          <w:trHeight w:val="21"/>
        </w:trPr>
        <w:tc>
          <w:tcPr>
            <w:tcW w:w="8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ind w:right="4700"/>
        <w:spacing w:after="0" w:line="296" w:lineRule="auto"/>
        <w:rPr>
          <w:sz w:val="20"/>
          <w:szCs w:val="20"/>
          <w:color w:val="auto"/>
        </w:rPr>
      </w:pPr>
      <w:r>
        <w:rPr>
          <w:rFonts w:ascii="Arial" w:cs="Arial" w:eastAsia="Arial" w:hAnsi="Arial"/>
          <w:sz w:val="18"/>
          <w:szCs w:val="18"/>
          <w:b w:val="1"/>
          <w:bCs w:val="1"/>
          <w:color w:val="auto"/>
        </w:rPr>
        <w:t>UNAUDITED CONDENSED CONSOLIDATED STATEMENTS OF CASH FLOWS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740" w:type="dxa"/>
            <w:vAlign w:val="bottom"/>
            <w:tcBorders>
              <w:bottom w:val="single" w:sz="8" w:color="auto"/>
            </w:tcBorders>
            <w:gridSpan w:val="4"/>
            <w:shd w:val="clear" w:color="auto" w:fill="CCEEFF"/>
          </w:tcPr>
          <w:p>
            <w:pPr>
              <w:jc w:val="right"/>
              <w:ind w:right="71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8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3/31/2022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3/31/2021</w:t>
            </w:r>
          </w:p>
        </w:tc>
        <w:tc>
          <w:tcPr>
            <w:tcW w:w="0" w:type="dxa"/>
            <w:vAlign w:val="bottom"/>
          </w:tcPr>
          <w:p>
            <w:pPr>
              <w:spacing w:after="0"/>
              <w:rPr>
                <w:sz w:val="1"/>
                <w:szCs w:val="1"/>
                <w:color w:val="auto"/>
              </w:rPr>
            </w:pPr>
          </w:p>
        </w:tc>
      </w:tr>
      <w:tr>
        <w:trPr>
          <w:trHeight w:val="21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514.4</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764.8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00"/>
              <w:spacing w:after="0"/>
              <w:rPr>
                <w:sz w:val="20"/>
                <w:szCs w:val="20"/>
                <w:color w:val="auto"/>
              </w:rPr>
            </w:pPr>
            <w:r>
              <w:rPr>
                <w:rFonts w:ascii="Arial" w:cs="Arial" w:eastAsia="Arial" w:hAnsi="Arial"/>
                <w:sz w:val="18"/>
                <w:szCs w:val="18"/>
                <w:color w:val="auto"/>
              </w:rPr>
              <w:t>Depreciation and amortization of property, equipment and software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Amortization of acquisition-related assets and retention arrangements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tcPr>
          <w:p>
            <w:pPr>
              <w:ind w:left="300"/>
              <w:spacing w:after="0"/>
              <w:rPr>
                <w:sz w:val="20"/>
                <w:szCs w:val="20"/>
                <w:color w:val="auto"/>
              </w:rPr>
            </w:pPr>
            <w:r>
              <w:rPr>
                <w:rFonts w:ascii="Arial" w:cs="Arial" w:eastAsia="Arial" w:hAnsi="Arial"/>
                <w:sz w:val="18"/>
                <w:szCs w:val="18"/>
                <w:color w:val="auto"/>
              </w:rPr>
              <w:t>Fair value remeasurement of contingent consideration liability</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Stock-based compensation expense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29"/>
        </w:trPr>
        <w:tc>
          <w:tcPr>
            <w:tcW w:w="8240" w:type="dxa"/>
            <w:vAlign w:val="bottom"/>
          </w:tcPr>
          <w:p>
            <w:pPr>
              <w:ind w:left="300"/>
              <w:spacing w:after="0"/>
              <w:rPr>
                <w:sz w:val="20"/>
                <w:szCs w:val="20"/>
                <w:color w:val="auto"/>
              </w:rPr>
            </w:pPr>
            <w:r>
              <w:rPr>
                <w:rFonts w:ascii="Arial" w:cs="Arial" w:eastAsia="Arial" w:hAnsi="Arial"/>
                <w:sz w:val="18"/>
                <w:szCs w:val="18"/>
                <w:color w:val="auto"/>
              </w:rPr>
              <w:t>Net (gains) losses recognized on investments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176"/>
        </w:trPr>
        <w:tc>
          <w:tcPr>
            <w:tcW w:w="824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rPr>
              <w:t>Net redemptions in T. Rowe Price investment products used to economically hedge supplemental</w:t>
            </w: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savings plan liability</w:t>
            </w:r>
          </w:p>
        </w:tc>
        <w:tc>
          <w:tcPr>
            <w:tcW w:w="26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00"/>
              <w:spacing w:after="0"/>
              <w:rPr>
                <w:sz w:val="20"/>
                <w:szCs w:val="20"/>
                <w:color w:val="auto"/>
              </w:rPr>
            </w:pPr>
            <w:r>
              <w:rPr>
                <w:rFonts w:ascii="Arial" w:cs="Arial" w:eastAsia="Arial" w:hAnsi="Arial"/>
                <w:sz w:val="18"/>
                <w:szCs w:val="18"/>
                <w:color w:val="auto"/>
              </w:rPr>
              <w:t>Net change in securities held by consolidated T. Rowe Price investment products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changes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994.7</w:t>
            </w: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investment products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Dispositions of investment products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of T. Rowe Price investment products on deconsolidation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Additions to property, equipment and software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investing activity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Repurchases of common stock</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Common share issuances under stock-based compensation plans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 to common stockholders of T. Rowe Price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Net contributions from non-controlling interests in consolidated entities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subscriptions (redemptions) received from redeemable non-controlling interest holders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(307.5)</w:t>
            </w: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20"/>
              <w:spacing w:after="0" w:line="176" w:lineRule="exact"/>
              <w:rPr>
                <w:sz w:val="20"/>
                <w:szCs w:val="20"/>
                <w:color w:val="auto"/>
              </w:rPr>
            </w:pPr>
            <w:r>
              <w:rPr>
                <w:rFonts w:ascii="Arial" w:cs="Arial" w:eastAsia="Arial" w:hAnsi="Arial"/>
                <w:sz w:val="18"/>
                <w:szCs w:val="18"/>
                <w:color w:val="auto"/>
              </w:rPr>
              <w:t>Effect of exchange rate changes on cash and cash equivalents of consolidated</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 Rowe Price investment products</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Net change in cash and cash equivalents during period</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460.4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657.3</w:t>
            </w: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Cash and cash equivalents at beginning of period, including $101.1 million at December 31, 2021, and</w:t>
            </w: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1,624.2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2,256.5</w:t>
            </w: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$104.8 million at December 31, 2020, held by consolidated T. Rowe Price investment products</w:t>
            </w: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8240" w:type="dxa"/>
            <w:vAlign w:val="bottom"/>
          </w:tcPr>
          <w:p>
            <w:pPr>
              <w:ind w:left="20"/>
              <w:spacing w:after="0" w:line="156" w:lineRule="exact"/>
              <w:rPr>
                <w:sz w:val="20"/>
                <w:szCs w:val="20"/>
                <w:color w:val="auto"/>
              </w:rPr>
            </w:pPr>
            <w:r>
              <w:rPr>
                <w:rFonts w:ascii="Arial" w:cs="Arial" w:eastAsia="Arial" w:hAnsi="Arial"/>
                <w:sz w:val="18"/>
                <w:szCs w:val="18"/>
                <w:color w:val="auto"/>
              </w:rPr>
              <w:t>Cash and cash equivalents at end of period, including $87.1 million at March 31, 2022, and</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2,084.6</w:t>
            </w:r>
          </w:p>
        </w:tc>
        <w:tc>
          <w:tcPr>
            <w:tcW w:w="12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2,913.8</w:t>
            </w:r>
          </w:p>
        </w:tc>
        <w:tc>
          <w:tcPr>
            <w:tcW w:w="0" w:type="dxa"/>
            <w:vAlign w:val="bottom"/>
          </w:tcPr>
          <w:p>
            <w:pPr>
              <w:spacing w:after="0"/>
              <w:rPr>
                <w:sz w:val="1"/>
                <w:szCs w:val="1"/>
                <w:color w:val="auto"/>
              </w:rPr>
            </w:pPr>
          </w:p>
        </w:tc>
      </w:tr>
      <w:tr>
        <w:trPr>
          <w:trHeight w:val="221"/>
        </w:trPr>
        <w:tc>
          <w:tcPr>
            <w:tcW w:w="8240" w:type="dxa"/>
            <w:vAlign w:val="bottom"/>
          </w:tcPr>
          <w:p>
            <w:pPr>
              <w:ind w:left="20"/>
              <w:spacing w:after="0"/>
              <w:rPr>
                <w:sz w:val="20"/>
                <w:szCs w:val="20"/>
                <w:color w:val="auto"/>
              </w:rPr>
            </w:pPr>
            <w:r>
              <w:rPr>
                <w:rFonts w:ascii="Arial" w:cs="Arial" w:eastAsia="Arial" w:hAnsi="Arial"/>
                <w:sz w:val="18"/>
                <w:szCs w:val="18"/>
                <w:color w:val="auto"/>
              </w:rPr>
              <w:t>$83.7 million at March 31, 2021, held by consolidated T. Rowe Price investment products</w:t>
            </w:r>
          </w:p>
        </w:tc>
        <w:tc>
          <w:tcPr>
            <w:tcW w:w="26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ind w:right="3620"/>
        <w:spacing w:after="0" w:line="296" w:lineRule="auto"/>
        <w:rPr>
          <w:sz w:val="20"/>
          <w:szCs w:val="20"/>
          <w:color w:val="auto"/>
        </w:rPr>
      </w:pPr>
      <w:r>
        <w:rPr>
          <w:rFonts w:ascii="Arial" w:cs="Arial" w:eastAsia="Arial" w:hAnsi="Arial"/>
          <w:sz w:val="18"/>
          <w:szCs w:val="18"/>
          <w:b w:val="1"/>
          <w:bCs w:val="1"/>
          <w:color w:val="auto"/>
        </w:rPr>
        <w:t>UNAUDITED CONDENSED CONSOLIDATED STATEMENTS OF STOCKHOLDERS’ EQUITY (shares in thousands; dollars in millions)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2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2100" w:type="dxa"/>
            <w:vAlign w:val="bottom"/>
            <w:tcBorders>
              <w:bottom w:val="single" w:sz="8" w:color="auto"/>
            </w:tcBorders>
            <w:gridSpan w:val="12"/>
            <w:shd w:val="clear" w:color="auto" w:fill="CCEEFF"/>
          </w:tcPr>
          <w:p>
            <w:pPr>
              <w:ind w:left="180"/>
              <w:spacing w:after="0"/>
              <w:rPr>
                <w:sz w:val="20"/>
                <w:szCs w:val="20"/>
                <w:color w:val="auto"/>
              </w:rPr>
            </w:pPr>
            <w:r>
              <w:rPr>
                <w:rFonts w:ascii="Arial" w:cs="Arial" w:eastAsia="Arial" w:hAnsi="Arial"/>
                <w:sz w:val="13"/>
                <w:szCs w:val="13"/>
                <w:b w:val="1"/>
                <w:bCs w:val="1"/>
                <w:color w:val="auto"/>
              </w:rPr>
              <w:t>Three months ended 3/31/2022</w:t>
            </w:r>
          </w:p>
        </w:tc>
        <w:tc>
          <w:tcPr>
            <w:tcW w:w="4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3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jc w:val="center"/>
              <w:ind w:right="360"/>
              <w:spacing w:after="0" w:line="115" w:lineRule="exact"/>
              <w:rPr>
                <w:sz w:val="20"/>
                <w:szCs w:val="20"/>
                <w:color w:val="auto"/>
              </w:rPr>
            </w:pPr>
            <w:r>
              <w:rPr>
                <w:rFonts w:ascii="Arial" w:cs="Arial" w:eastAsia="Arial" w:hAnsi="Arial"/>
                <w:sz w:val="13"/>
                <w:szCs w:val="13"/>
                <w:b w:val="1"/>
                <w:bCs w:val="1"/>
                <w:color w:val="auto"/>
                <w:w w:val="96"/>
              </w:rPr>
              <w:t>Total</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4"/>
              </w:rPr>
              <w:t>Non-</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5"/>
            <w:vMerge w:val="restart"/>
          </w:tcPr>
          <w:p>
            <w:pPr>
              <w:jc w:val="center"/>
              <w:ind w:right="100"/>
              <w:spacing w:after="0"/>
              <w:rPr>
                <w:sz w:val="20"/>
                <w:szCs w:val="20"/>
                <w:color w:val="auto"/>
              </w:rPr>
            </w:pPr>
            <w:r>
              <w:rPr>
                <w:rFonts w:ascii="Arial" w:cs="Arial" w:eastAsia="Arial" w:hAnsi="Arial"/>
                <w:sz w:val="13"/>
                <w:szCs w:val="13"/>
                <w:b w:val="1"/>
                <w:bCs w:val="1"/>
                <w:color w:val="auto"/>
                <w:w w:val="97"/>
              </w:rPr>
              <w:t>Additional</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5"/>
          </w:tcPr>
          <w:p>
            <w:pPr>
              <w:jc w:val="center"/>
              <w:ind w:right="60"/>
              <w:spacing w:after="0" w:line="122" w:lineRule="exact"/>
              <w:rPr>
                <w:sz w:val="20"/>
                <w:szCs w:val="20"/>
                <w:color w:val="auto"/>
              </w:rPr>
            </w:pPr>
            <w:r>
              <w:rPr>
                <w:rFonts w:ascii="Arial" w:cs="Arial" w:eastAsia="Arial" w:hAnsi="Arial"/>
                <w:sz w:val="13"/>
                <w:szCs w:val="13"/>
                <w:b w:val="1"/>
                <w:bCs w:val="1"/>
                <w:color w:val="auto"/>
                <w:w w:val="96"/>
              </w:rPr>
              <w:t>stockholders’</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center"/>
              <w:ind w:left="109"/>
              <w:spacing w:after="0"/>
              <w:rPr>
                <w:sz w:val="20"/>
                <w:szCs w:val="20"/>
                <w:color w:val="auto"/>
              </w:rPr>
            </w:pPr>
            <w:r>
              <w:rPr>
                <w:rFonts w:ascii="Arial" w:cs="Arial" w:eastAsia="Arial" w:hAnsi="Arial"/>
                <w:sz w:val="13"/>
                <w:szCs w:val="13"/>
                <w:b w:val="1"/>
                <w:bCs w:val="1"/>
                <w:color w:val="auto"/>
                <w:w w:val="89"/>
              </w:rPr>
              <w:t>Total</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35"/>
        </w:trPr>
        <w:tc>
          <w:tcPr>
            <w:tcW w:w="3720" w:type="dxa"/>
            <w:vAlign w:val="bottom"/>
          </w:tcPr>
          <w:p>
            <w:pPr>
              <w:spacing w:after="0"/>
              <w:rPr>
                <w:sz w:val="11"/>
                <w:szCs w:val="11"/>
                <w:color w:val="auto"/>
              </w:rPr>
            </w:pP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9"/>
              </w:rPr>
              <w:t>Common</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5"/>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tcPr>
          <w:p>
            <w:pPr>
              <w:jc w:val="center"/>
              <w:ind w:right="320"/>
              <w:spacing w:after="0" w:line="135" w:lineRule="exact"/>
              <w:rPr>
                <w:sz w:val="20"/>
                <w:szCs w:val="20"/>
                <w:color w:val="auto"/>
              </w:rPr>
            </w:pPr>
            <w:r>
              <w:rPr>
                <w:rFonts w:ascii="Arial" w:cs="Arial" w:eastAsia="Arial" w:hAnsi="Arial"/>
                <w:sz w:val="13"/>
                <w:szCs w:val="13"/>
                <w:b w:val="1"/>
                <w:bCs w:val="1"/>
                <w:color w:val="auto"/>
                <w:w w:val="99"/>
              </w:rPr>
              <w:t>equity</w:t>
            </w:r>
          </w:p>
        </w:tc>
        <w:tc>
          <w:tcPr>
            <w:tcW w:w="40" w:type="dxa"/>
            <w:vAlign w:val="bottom"/>
          </w:tcPr>
          <w:p>
            <w:pPr>
              <w:spacing w:after="0"/>
              <w:rPr>
                <w:sz w:val="11"/>
                <w:szCs w:val="11"/>
                <w:color w:val="auto"/>
              </w:rPr>
            </w:pPr>
          </w:p>
        </w:tc>
        <w:tc>
          <w:tcPr>
            <w:tcW w:w="840" w:type="dxa"/>
            <w:vAlign w:val="bottom"/>
            <w:gridSpan w:val="5"/>
          </w:tcPr>
          <w:p>
            <w:pPr>
              <w:jc w:val="center"/>
              <w:spacing w:after="0" w:line="135" w:lineRule="exact"/>
              <w:rPr>
                <w:sz w:val="20"/>
                <w:szCs w:val="20"/>
                <w:color w:val="auto"/>
              </w:rPr>
            </w:pPr>
            <w:r>
              <w:rPr>
                <w:rFonts w:ascii="Arial" w:cs="Arial" w:eastAsia="Arial" w:hAnsi="Arial"/>
                <w:sz w:val="13"/>
                <w:szCs w:val="13"/>
                <w:b w:val="1"/>
                <w:bCs w:val="1"/>
                <w:color w:val="auto"/>
                <w:w w:val="98"/>
              </w:rPr>
              <w:t>controlling</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7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7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Common</w:t>
            </w:r>
          </w:p>
        </w:tc>
        <w:tc>
          <w:tcPr>
            <w:tcW w:w="80" w:type="dxa"/>
            <w:vAlign w:val="bottom"/>
          </w:tcPr>
          <w:p>
            <w:pPr>
              <w:spacing w:after="0"/>
              <w:rPr>
                <w:sz w:val="10"/>
                <w:szCs w:val="10"/>
                <w:color w:val="auto"/>
              </w:rPr>
            </w:pPr>
          </w:p>
        </w:tc>
        <w:tc>
          <w:tcPr>
            <w:tcW w:w="720" w:type="dxa"/>
            <w:vAlign w:val="bottom"/>
            <w:gridSpan w:val="4"/>
          </w:tcPr>
          <w:p>
            <w:pPr>
              <w:jc w:val="center"/>
              <w:ind w:right="180"/>
              <w:spacing w:after="0" w:line="122" w:lineRule="exact"/>
              <w:rPr>
                <w:sz w:val="20"/>
                <w:szCs w:val="20"/>
                <w:color w:val="auto"/>
              </w:rPr>
            </w:pPr>
            <w:r>
              <w:rPr>
                <w:rFonts w:ascii="Arial" w:cs="Arial" w:eastAsia="Arial" w:hAnsi="Arial"/>
                <w:sz w:val="13"/>
                <w:szCs w:val="13"/>
                <w:b w:val="1"/>
                <w:bCs w:val="1"/>
                <w:color w:val="auto"/>
                <w:w w:val="95"/>
              </w:rPr>
              <w:t>capital in</w:t>
            </w:r>
          </w:p>
        </w:tc>
        <w:tc>
          <w:tcPr>
            <w:tcW w:w="40" w:type="dxa"/>
            <w:vAlign w:val="bottom"/>
          </w:tcPr>
          <w:p>
            <w:pPr>
              <w:spacing w:after="0"/>
              <w:rPr>
                <w:sz w:val="10"/>
                <w:szCs w:val="10"/>
                <w:color w:val="auto"/>
              </w:rPr>
            </w:pPr>
          </w:p>
        </w:tc>
        <w:tc>
          <w:tcPr>
            <w:tcW w:w="700" w:type="dxa"/>
            <w:vAlign w:val="bottom"/>
            <w:gridSpan w:val="5"/>
            <w:vMerge w:val="restart"/>
          </w:tcPr>
          <w:p>
            <w:pPr>
              <w:jc w:val="right"/>
              <w:ind w:right="160"/>
              <w:spacing w:after="0"/>
              <w:rPr>
                <w:sz w:val="20"/>
                <w:szCs w:val="20"/>
                <w:color w:val="auto"/>
              </w:rPr>
            </w:pPr>
            <w:r>
              <w:rPr>
                <w:rFonts w:ascii="Arial" w:cs="Arial" w:eastAsia="Arial" w:hAnsi="Arial"/>
                <w:sz w:val="13"/>
                <w:szCs w:val="13"/>
                <w:b w:val="1"/>
                <w:bCs w:val="1"/>
                <w:color w:val="auto"/>
                <w:w w:val="94"/>
              </w:rPr>
              <w:t>Retained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5"/>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attributable to</w:t>
            </w:r>
          </w:p>
        </w:tc>
        <w:tc>
          <w:tcPr>
            <w:tcW w:w="40" w:type="dxa"/>
            <w:vAlign w:val="bottom"/>
          </w:tcPr>
          <w:p>
            <w:pPr>
              <w:spacing w:after="0"/>
              <w:rPr>
                <w:sz w:val="10"/>
                <w:szCs w:val="10"/>
                <w:color w:val="auto"/>
              </w:rPr>
            </w:pPr>
          </w:p>
        </w:tc>
        <w:tc>
          <w:tcPr>
            <w:tcW w:w="840" w:type="dxa"/>
            <w:vAlign w:val="bottom"/>
            <w:gridSpan w:val="5"/>
          </w:tcPr>
          <w:p>
            <w:pPr>
              <w:jc w:val="center"/>
              <w:spacing w:after="0" w:line="122" w:lineRule="exact"/>
              <w:rPr>
                <w:sz w:val="20"/>
                <w:szCs w:val="20"/>
                <w:color w:val="auto"/>
              </w:rPr>
            </w:pPr>
            <w:r>
              <w:rPr>
                <w:rFonts w:ascii="Arial" w:cs="Arial" w:eastAsia="Arial" w:hAnsi="Arial"/>
                <w:sz w:val="13"/>
                <w:szCs w:val="13"/>
                <w:b w:val="1"/>
                <w:bCs w:val="1"/>
                <w:color w:val="auto"/>
                <w:w w:val="97"/>
              </w:rPr>
              <w:t>interests in</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tcPr>
          <w:p>
            <w:pPr>
              <w:jc w:val="center"/>
              <w:ind w:right="37"/>
              <w:spacing w:after="0" w:line="122" w:lineRule="exact"/>
              <w:rPr>
                <w:sz w:val="20"/>
                <w:szCs w:val="20"/>
                <w:color w:val="auto"/>
              </w:rPr>
            </w:pPr>
            <w:r>
              <w:rPr>
                <w:rFonts w:ascii="Arial" w:cs="Arial" w:eastAsia="Arial" w:hAnsi="Arial"/>
                <w:sz w:val="13"/>
                <w:szCs w:val="13"/>
                <w:b w:val="1"/>
                <w:bCs w:val="1"/>
                <w:color w:val="auto"/>
                <w:w w:val="96"/>
              </w:rPr>
              <w:t>permanent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79"/>
              <w:spacing w:after="0" w:line="122" w:lineRule="exact"/>
              <w:rPr>
                <w:sz w:val="20"/>
                <w:szCs w:val="20"/>
                <w:color w:val="auto"/>
              </w:rPr>
            </w:pPr>
            <w:r>
              <w:rPr>
                <w:rFonts w:ascii="Arial" w:cs="Arial" w:eastAsia="Arial" w:hAnsi="Arial"/>
                <w:sz w:val="13"/>
                <w:szCs w:val="13"/>
                <w:b w:val="1"/>
                <w:bCs w:val="1"/>
                <w:color w:val="auto"/>
                <w:w w:val="99"/>
              </w:rPr>
              <w:t>non-</w:t>
            </w:r>
          </w:p>
        </w:tc>
        <w:tc>
          <w:tcPr>
            <w:tcW w:w="0" w:type="dxa"/>
            <w:vAlign w:val="bottom"/>
          </w:tcPr>
          <w:p>
            <w:pPr>
              <w:spacing w:after="0"/>
              <w:rPr>
                <w:sz w:val="1"/>
                <w:szCs w:val="1"/>
                <w:color w:val="auto"/>
              </w:rPr>
            </w:pPr>
          </w:p>
        </w:tc>
      </w:tr>
      <w:tr>
        <w:trPr>
          <w:trHeight w:val="121"/>
        </w:trPr>
        <w:tc>
          <w:tcPr>
            <w:tcW w:w="3720" w:type="dxa"/>
            <w:vAlign w:val="bottom"/>
          </w:tcPr>
          <w:p>
            <w:pPr>
              <w:spacing w:after="0"/>
              <w:rPr>
                <w:sz w:val="10"/>
                <w:szCs w:val="10"/>
                <w:color w:val="auto"/>
              </w:rPr>
            </w:pPr>
          </w:p>
        </w:tc>
        <w:tc>
          <w:tcPr>
            <w:tcW w:w="88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shares</w:t>
            </w:r>
          </w:p>
        </w:tc>
        <w:tc>
          <w:tcPr>
            <w:tcW w:w="720" w:type="dxa"/>
            <w:vAlign w:val="bottom"/>
            <w:gridSpan w:val="3"/>
            <w:vMerge w:val="continue"/>
          </w:tcPr>
          <w:p>
            <w:pPr>
              <w:spacing w:after="0"/>
              <w:rPr>
                <w:sz w:val="10"/>
                <w:szCs w:val="10"/>
                <w:color w:val="auto"/>
              </w:rPr>
            </w:pPr>
          </w:p>
        </w:tc>
        <w:tc>
          <w:tcPr>
            <w:tcW w:w="800" w:type="dxa"/>
            <w:vAlign w:val="bottom"/>
            <w:gridSpan w:val="5"/>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excess of</w:t>
            </w:r>
          </w:p>
        </w:tc>
        <w:tc>
          <w:tcPr>
            <w:tcW w:w="40" w:type="dxa"/>
            <w:vAlign w:val="bottom"/>
          </w:tcPr>
          <w:p>
            <w:pPr>
              <w:spacing w:after="0"/>
              <w:rPr>
                <w:sz w:val="10"/>
                <w:szCs w:val="10"/>
                <w:color w:val="auto"/>
              </w:rPr>
            </w:pPr>
          </w:p>
        </w:tc>
        <w:tc>
          <w:tcPr>
            <w:tcW w:w="700" w:type="dxa"/>
            <w:vAlign w:val="bottom"/>
            <w:gridSpan w:val="5"/>
            <w:vMerge w:val="continue"/>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gridSpan w:val="3"/>
            <w:vMerge w:val="restart"/>
          </w:tcPr>
          <w:p>
            <w:pPr>
              <w:jc w:val="right"/>
              <w:ind w:right="9"/>
              <w:spacing w:after="0"/>
              <w:rPr>
                <w:sz w:val="20"/>
                <w:szCs w:val="20"/>
                <w:color w:val="auto"/>
              </w:rPr>
            </w:pPr>
            <w:r>
              <w:rPr>
                <w:rFonts w:ascii="Arial" w:cs="Arial" w:eastAsia="Arial" w:hAnsi="Arial"/>
                <w:sz w:val="13"/>
                <w:szCs w:val="13"/>
                <w:b w:val="1"/>
                <w:bCs w:val="1"/>
                <w:color w:val="auto"/>
                <w:w w:val="96"/>
              </w:rPr>
              <w:t>AOCI</w:t>
            </w:r>
            <w:r>
              <w:rPr>
                <w:rFonts w:ascii="Arial" w:cs="Arial" w:eastAsia="Arial" w:hAnsi="Arial"/>
                <w:sz w:val="16"/>
                <w:szCs w:val="16"/>
                <w:b w:val="1"/>
                <w:bCs w:val="1"/>
                <w:color w:val="auto"/>
                <w:w w:val="96"/>
                <w:vertAlign w:val="superscript"/>
              </w:rPr>
              <w:t>(1)</w:t>
            </w:r>
          </w:p>
        </w:tc>
        <w:tc>
          <w:tcPr>
            <w:tcW w:w="80" w:type="dxa"/>
            <w:vAlign w:val="bottom"/>
          </w:tcPr>
          <w:p>
            <w:pPr>
              <w:spacing w:after="0"/>
              <w:rPr>
                <w:sz w:val="10"/>
                <w:szCs w:val="10"/>
                <w:color w:val="auto"/>
              </w:rPr>
            </w:pPr>
          </w:p>
        </w:tc>
        <w:tc>
          <w:tcPr>
            <w:tcW w:w="960" w:type="dxa"/>
            <w:vAlign w:val="bottom"/>
            <w:gridSpan w:val="5"/>
          </w:tcPr>
          <w:p>
            <w:pPr>
              <w:jc w:val="center"/>
              <w:ind w:right="60"/>
              <w:spacing w:after="0" w:line="122" w:lineRule="exact"/>
              <w:rPr>
                <w:sz w:val="20"/>
                <w:szCs w:val="20"/>
                <w:color w:val="auto"/>
              </w:rPr>
            </w:pPr>
            <w:r>
              <w:rPr>
                <w:rFonts w:ascii="Arial" w:cs="Arial" w:eastAsia="Arial" w:hAnsi="Arial"/>
                <w:sz w:val="13"/>
                <w:szCs w:val="13"/>
                <w:b w:val="1"/>
                <w:bCs w:val="1"/>
                <w:color w:val="auto"/>
                <w:w w:val="96"/>
              </w:rPr>
              <w:t>T. Rowe Price</w:t>
            </w:r>
          </w:p>
        </w:tc>
        <w:tc>
          <w:tcPr>
            <w:tcW w:w="40" w:type="dxa"/>
            <w:vAlign w:val="bottom"/>
          </w:tcPr>
          <w:p>
            <w:pPr>
              <w:spacing w:after="0"/>
              <w:rPr>
                <w:sz w:val="10"/>
                <w:szCs w:val="10"/>
                <w:color w:val="auto"/>
              </w:rPr>
            </w:pPr>
          </w:p>
        </w:tc>
        <w:tc>
          <w:tcPr>
            <w:tcW w:w="840" w:type="dxa"/>
            <w:vAlign w:val="bottom"/>
            <w:gridSpan w:val="5"/>
          </w:tcPr>
          <w:p>
            <w:pPr>
              <w:jc w:val="center"/>
              <w:spacing w:after="0" w:line="122" w:lineRule="exact"/>
              <w:rPr>
                <w:sz w:val="20"/>
                <w:szCs w:val="20"/>
                <w:color w:val="auto"/>
              </w:rPr>
            </w:pPr>
            <w:r>
              <w:rPr>
                <w:rFonts w:ascii="Arial" w:cs="Arial" w:eastAsia="Arial" w:hAnsi="Arial"/>
                <w:sz w:val="13"/>
                <w:szCs w:val="13"/>
                <w:b w:val="1"/>
                <w:bCs w:val="1"/>
                <w:color w:val="auto"/>
                <w:w w:val="97"/>
              </w:rPr>
              <w:t>consolidated</w:t>
            </w:r>
          </w:p>
        </w:tc>
        <w:tc>
          <w:tcPr>
            <w:tcW w:w="80" w:type="dxa"/>
            <w:vAlign w:val="bottom"/>
          </w:tcPr>
          <w:p>
            <w:pPr>
              <w:spacing w:after="0"/>
              <w:rPr>
                <w:sz w:val="10"/>
                <w:szCs w:val="10"/>
                <w:color w:val="auto"/>
              </w:rPr>
            </w:pPr>
          </w:p>
        </w:tc>
        <w:tc>
          <w:tcPr>
            <w:tcW w:w="880" w:type="dxa"/>
            <w:vAlign w:val="bottom"/>
            <w:gridSpan w:val="4"/>
          </w:tcPr>
          <w:p>
            <w:pPr>
              <w:ind w:left="40"/>
              <w:spacing w:after="0" w:line="122" w:lineRule="exact"/>
              <w:rPr>
                <w:sz w:val="20"/>
                <w:szCs w:val="20"/>
                <w:color w:val="auto"/>
              </w:rPr>
            </w:pPr>
            <w:r>
              <w:rPr>
                <w:rFonts w:ascii="Arial" w:cs="Arial" w:eastAsia="Arial" w:hAnsi="Arial"/>
                <w:sz w:val="13"/>
                <w:szCs w:val="13"/>
                <w:b w:val="1"/>
                <w:bCs w:val="1"/>
                <w:color w:val="auto"/>
                <w:w w:val="96"/>
              </w:rPr>
              <w:t>stockholders’</w:t>
            </w:r>
          </w:p>
        </w:tc>
        <w:tc>
          <w:tcPr>
            <w:tcW w:w="80" w:type="dxa"/>
            <w:vAlign w:val="bottom"/>
          </w:tcPr>
          <w:p>
            <w:pPr>
              <w:spacing w:after="0"/>
              <w:rPr>
                <w:sz w:val="10"/>
                <w:szCs w:val="10"/>
                <w:color w:val="auto"/>
              </w:rPr>
            </w:pPr>
          </w:p>
        </w:tc>
        <w:tc>
          <w:tcPr>
            <w:tcW w:w="840" w:type="dxa"/>
            <w:vAlign w:val="bottom"/>
            <w:gridSpan w:val="3"/>
          </w:tcPr>
          <w:p>
            <w:pPr>
              <w:jc w:val="center"/>
              <w:spacing w:after="0" w:line="122" w:lineRule="exact"/>
              <w:rPr>
                <w:sz w:val="20"/>
                <w:szCs w:val="20"/>
                <w:color w:val="auto"/>
              </w:rPr>
            </w:pPr>
            <w:r>
              <w:rPr>
                <w:rFonts w:ascii="Arial" w:cs="Arial" w:eastAsia="Arial" w:hAnsi="Arial"/>
                <w:sz w:val="13"/>
                <w:szCs w:val="13"/>
                <w:b w:val="1"/>
                <w:bCs w:val="1"/>
                <w:color w:val="auto"/>
                <w:w w:val="95"/>
              </w:rPr>
              <w:t>controlling</w:t>
            </w:r>
          </w:p>
        </w:tc>
        <w:tc>
          <w:tcPr>
            <w:tcW w:w="0" w:type="dxa"/>
            <w:vAlign w:val="bottom"/>
          </w:tcPr>
          <w:p>
            <w:pPr>
              <w:spacing w:after="0"/>
              <w:rPr>
                <w:sz w:val="1"/>
                <w:szCs w:val="1"/>
                <w:color w:val="auto"/>
              </w:rPr>
            </w:pPr>
          </w:p>
        </w:tc>
      </w:tr>
      <w:tr>
        <w:trPr>
          <w:trHeight w:val="189"/>
        </w:trPr>
        <w:tc>
          <w:tcPr>
            <w:tcW w:w="37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outstanding</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w w:val="99"/>
              </w:rPr>
              <w:t>stock</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center"/>
              <w:ind w:right="9"/>
              <w:spacing w:after="0"/>
              <w:rPr>
                <w:sz w:val="20"/>
                <w:szCs w:val="20"/>
                <w:color w:val="auto"/>
              </w:rPr>
            </w:pPr>
            <w:r>
              <w:rPr>
                <w:rFonts w:ascii="Arial" w:cs="Arial" w:eastAsia="Arial" w:hAnsi="Arial"/>
                <w:sz w:val="13"/>
                <w:szCs w:val="13"/>
                <w:b w:val="1"/>
                <w:bCs w:val="1"/>
                <w:color w:val="auto"/>
                <w:w w:val="94"/>
              </w:rPr>
              <w:t>par value</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3"/>
                <w:szCs w:val="13"/>
                <w:b w:val="1"/>
                <w:bCs w:val="1"/>
                <w:color w:val="auto"/>
                <w:w w:val="92"/>
              </w:rPr>
              <w:t>earnings</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6"/>
              </w:rPr>
              <w:t>Group, Inc.</w:t>
            </w:r>
          </w:p>
        </w:tc>
        <w:tc>
          <w:tcPr>
            <w:tcW w:w="8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6"/>
              </w:rPr>
              <w:t>entities</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jc w:val="center"/>
              <w:ind w:right="37"/>
              <w:spacing w:after="0"/>
              <w:rPr>
                <w:sz w:val="20"/>
                <w:szCs w:val="20"/>
                <w:color w:val="auto"/>
              </w:rPr>
            </w:pPr>
            <w:r>
              <w:rPr>
                <w:rFonts w:ascii="Arial" w:cs="Arial" w:eastAsia="Arial" w:hAnsi="Arial"/>
                <w:sz w:val="13"/>
                <w:szCs w:val="13"/>
                <w:b w:val="1"/>
                <w:bCs w:val="1"/>
                <w:color w:val="auto"/>
                <w:w w:val="93"/>
              </w:rPr>
              <w:t>equity</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jc w:val="center"/>
              <w:ind w:right="79"/>
              <w:spacing w:after="0"/>
              <w:rPr>
                <w:sz w:val="20"/>
                <w:szCs w:val="20"/>
                <w:color w:val="auto"/>
              </w:rPr>
            </w:pPr>
            <w:r>
              <w:rPr>
                <w:rFonts w:ascii="Arial" w:cs="Arial" w:eastAsia="Arial" w:hAnsi="Arial"/>
                <w:sz w:val="13"/>
                <w:szCs w:val="13"/>
                <w:b w:val="1"/>
                <w:bCs w:val="1"/>
                <w:color w:val="auto"/>
                <w:w w:val="95"/>
              </w:rPr>
              <w:t>interests</w:t>
            </w:r>
          </w:p>
        </w:tc>
        <w:tc>
          <w:tcPr>
            <w:tcW w:w="0" w:type="dxa"/>
            <w:vAlign w:val="bottom"/>
          </w:tcPr>
          <w:p>
            <w:pPr>
              <w:spacing w:after="0"/>
              <w:rPr>
                <w:sz w:val="1"/>
                <w:szCs w:val="1"/>
                <w:color w:val="auto"/>
              </w:rPr>
            </w:pPr>
          </w:p>
        </w:tc>
      </w:tr>
      <w:tr>
        <w:trPr>
          <w:trHeight w:val="196"/>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December 31, 2021</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229,175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45.8</w:t>
            </w:r>
          </w:p>
        </w:tc>
        <w:tc>
          <w:tcPr>
            <w:tcW w:w="8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gridSpan w:val="5"/>
            <w:shd w:val="clear" w:color="auto" w:fill="CCEEFF"/>
          </w:tcPr>
          <w:p>
            <w:pPr>
              <w:jc w:val="right"/>
              <w:ind w:right="9"/>
              <w:spacing w:after="0"/>
              <w:rPr>
                <w:sz w:val="20"/>
                <w:szCs w:val="20"/>
                <w:color w:val="auto"/>
              </w:rPr>
            </w:pPr>
            <w:r>
              <w:rPr>
                <w:rFonts w:ascii="Arial" w:cs="Arial" w:eastAsia="Arial" w:hAnsi="Arial"/>
                <w:sz w:val="14"/>
                <w:szCs w:val="14"/>
                <w:color w:val="auto"/>
                <w:w w:val="95"/>
              </w:rPr>
              <w:t>$ 8,083.6</w:t>
            </w:r>
          </w:p>
        </w:tc>
        <w:tc>
          <w:tcPr>
            <w:tcW w:w="8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9,022.7</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17"/>
              <w:spacing w:after="0"/>
              <w:rPr>
                <w:sz w:val="20"/>
                <w:szCs w:val="20"/>
                <w:color w:val="auto"/>
              </w:rPr>
            </w:pPr>
            <w:r>
              <w:rPr>
                <w:rFonts w:ascii="Arial" w:cs="Arial" w:eastAsia="Arial" w:hAnsi="Arial"/>
                <w:sz w:val="14"/>
                <w:szCs w:val="14"/>
                <w:color w:val="auto"/>
              </w:rPr>
              <w:t>$</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248.7</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9,271.4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982.3</w:t>
            </w:r>
          </w:p>
        </w:tc>
        <w:tc>
          <w:tcPr>
            <w:tcW w:w="0" w:type="dxa"/>
            <w:vAlign w:val="bottom"/>
          </w:tcPr>
          <w:p>
            <w:pPr>
              <w:spacing w:after="0"/>
              <w:rPr>
                <w:sz w:val="1"/>
                <w:szCs w:val="1"/>
                <w:color w:val="auto"/>
              </w:rPr>
            </w:pPr>
          </w:p>
        </w:tc>
      </w:tr>
      <w:tr>
        <w:trPr>
          <w:trHeight w:val="199"/>
        </w:trPr>
        <w:tc>
          <w:tcPr>
            <w:tcW w:w="372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620" w:type="dxa"/>
            <w:vAlign w:val="bottom"/>
            <w:gridSpan w:val="4"/>
          </w:tcPr>
          <w:p>
            <w:pPr>
              <w:jc w:val="right"/>
              <w:ind w:right="9"/>
              <w:spacing w:after="0"/>
              <w:rPr>
                <w:sz w:val="20"/>
                <w:szCs w:val="20"/>
                <w:color w:val="auto"/>
              </w:rPr>
            </w:pPr>
            <w:r>
              <w:rPr>
                <w:rFonts w:ascii="Arial" w:cs="Arial" w:eastAsia="Arial" w:hAnsi="Arial"/>
                <w:sz w:val="14"/>
                <w:szCs w:val="14"/>
                <w:color w:val="auto"/>
              </w:rPr>
              <w:t>567.9</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567.9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4"/>
          </w:tcPr>
          <w:p>
            <w:pPr>
              <w:jc w:val="right"/>
              <w:spacing w:after="0"/>
              <w:rPr>
                <w:sz w:val="20"/>
                <w:szCs w:val="20"/>
                <w:color w:val="auto"/>
              </w:rPr>
            </w:pPr>
            <w:r>
              <w:rPr>
                <w:rFonts w:ascii="Arial" w:cs="Arial" w:eastAsia="Arial" w:hAnsi="Arial"/>
                <w:sz w:val="14"/>
                <w:szCs w:val="14"/>
                <w:color w:val="auto"/>
              </w:rPr>
              <w:t>17.5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585.4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r>
        <w:trPr>
          <w:trHeight w:val="206"/>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99"/>
        </w:trPr>
        <w:tc>
          <w:tcPr>
            <w:tcW w:w="3720" w:type="dxa"/>
            <w:vAlign w:val="bottom"/>
          </w:tcPr>
          <w:p>
            <w:pPr>
              <w:ind w:left="20"/>
              <w:spacing w:after="0"/>
              <w:rPr>
                <w:sz w:val="20"/>
                <w:szCs w:val="20"/>
                <w:color w:val="auto"/>
              </w:rPr>
            </w:pPr>
            <w:r>
              <w:rPr>
                <w:rFonts w:ascii="Arial" w:cs="Arial" w:eastAsia="Arial" w:hAnsi="Arial"/>
                <w:sz w:val="14"/>
                <w:szCs w:val="14"/>
                <w:color w:val="auto"/>
              </w:rPr>
              <w:t>Dividends declared ($1.20 per share)</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620" w:type="dxa"/>
            <w:vAlign w:val="bottom"/>
            <w:gridSpan w:val="4"/>
          </w:tcPr>
          <w:p>
            <w:pPr>
              <w:jc w:val="right"/>
              <w:spacing w:after="0"/>
              <w:rPr>
                <w:sz w:val="20"/>
                <w:szCs w:val="20"/>
                <w:color w:val="auto"/>
              </w:rPr>
            </w:pPr>
            <w:r>
              <w:rPr>
                <w:rFonts w:ascii="Arial" w:cs="Arial" w:eastAsia="Arial" w:hAnsi="Arial"/>
                <w:sz w:val="14"/>
                <w:szCs w:val="14"/>
                <w:color w:val="auto"/>
              </w:rPr>
              <w:t>(279.2)</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(279.2)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(279.2)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upon option exercises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3720" w:type="dxa"/>
            <w:vAlign w:val="bottom"/>
          </w:tcPr>
          <w:p>
            <w:pPr>
              <w:ind w:left="20"/>
              <w:spacing w:after="0"/>
              <w:rPr>
                <w:sz w:val="20"/>
                <w:szCs w:val="20"/>
                <w:color w:val="auto"/>
              </w:rPr>
            </w:pPr>
            <w:r>
              <w:rPr>
                <w:rFonts w:ascii="Arial" w:cs="Arial" w:eastAsia="Arial" w:hAnsi="Arial"/>
                <w:sz w:val="14"/>
                <w:szCs w:val="14"/>
                <w:color w:val="auto"/>
              </w:rPr>
              <w:t>Net shares issued upon vesting of restricted stock units</w:t>
            </w:r>
          </w:p>
        </w:tc>
        <w:tc>
          <w:tcPr>
            <w:tcW w:w="800" w:type="dxa"/>
            <w:vAlign w:val="bottom"/>
          </w:tcPr>
          <w:p>
            <w:pPr>
              <w:jc w:val="right"/>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63.5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720" w:type="dxa"/>
            <w:vAlign w:val="bottom"/>
          </w:tcPr>
          <w:p>
            <w:pPr>
              <w:ind w:left="20"/>
              <w:spacing w:after="0"/>
              <w:rPr>
                <w:sz w:val="20"/>
                <w:szCs w:val="20"/>
                <w:color w:val="auto"/>
              </w:rPr>
            </w:pPr>
            <w:r>
              <w:rPr>
                <w:rFonts w:ascii="Arial" w:cs="Arial" w:eastAsia="Arial" w:hAnsi="Arial"/>
                <w:sz w:val="14"/>
                <w:szCs w:val="14"/>
                <w:color w:val="auto"/>
              </w:rPr>
              <w:t>Restricted stock units issued as dividend equivalents</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shares repurchased</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(320.1)</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(320.1)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720" w:type="dxa"/>
            <w:vAlign w:val="bottom"/>
          </w:tcPr>
          <w:p>
            <w:pPr>
              <w:ind w:left="20"/>
              <w:spacing w:after="0" w:line="149" w:lineRule="exact"/>
              <w:rPr>
                <w:sz w:val="20"/>
                <w:szCs w:val="20"/>
                <w:color w:val="auto"/>
              </w:rPr>
            </w:pPr>
            <w:r>
              <w:rPr>
                <w:rFonts w:ascii="Arial" w:cs="Arial" w:eastAsia="Arial" w:hAnsi="Arial"/>
                <w:sz w:val="14"/>
                <w:szCs w:val="14"/>
                <w:color w:val="auto"/>
              </w:rPr>
              <w:t>Net contributions from non-controlling interests in</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4"/>
            <w:vMerge w:val="restart"/>
          </w:tcPr>
          <w:p>
            <w:pPr>
              <w:jc w:val="right"/>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jc w:val="right"/>
              <w:ind w:right="1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720" w:type="dxa"/>
            <w:vAlign w:val="bottom"/>
          </w:tcPr>
          <w:p>
            <w:pPr>
              <w:ind w:left="20"/>
              <w:spacing w:after="0"/>
              <w:rPr>
                <w:sz w:val="20"/>
                <w:szCs w:val="20"/>
                <w:color w:val="auto"/>
              </w:rPr>
            </w:pPr>
            <w:r>
              <w:rPr>
                <w:rFonts w:ascii="Arial" w:cs="Arial" w:eastAsia="Arial" w:hAnsi="Arial"/>
                <w:sz w:val="14"/>
                <w:szCs w:val="14"/>
                <w:color w:val="auto"/>
              </w:rPr>
              <w:t>consolidated entities</w:t>
            </w: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redemptions from T. Rowe Price investment products</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(65.6)</w:t>
            </w:r>
          </w:p>
        </w:tc>
        <w:tc>
          <w:tcPr>
            <w:tcW w:w="0" w:type="dxa"/>
            <w:vAlign w:val="bottom"/>
          </w:tcPr>
          <w:p>
            <w:pPr>
              <w:spacing w:after="0"/>
              <w:rPr>
                <w:sz w:val="1"/>
                <w:szCs w:val="1"/>
                <w:color w:val="auto"/>
              </w:rPr>
            </w:pPr>
          </w:p>
        </w:tc>
      </w:tr>
      <w:tr>
        <w:trPr>
          <w:trHeight w:val="148"/>
        </w:trPr>
        <w:tc>
          <w:tcPr>
            <w:tcW w:w="3720" w:type="dxa"/>
            <w:vAlign w:val="bottom"/>
          </w:tcPr>
          <w:p>
            <w:pPr>
              <w:ind w:left="20"/>
              <w:spacing w:after="0" w:line="149" w:lineRule="exact"/>
              <w:rPr>
                <w:sz w:val="20"/>
                <w:szCs w:val="20"/>
                <w:color w:val="auto"/>
              </w:rPr>
            </w:pPr>
            <w:r>
              <w:rPr>
                <w:rFonts w:ascii="Arial" w:cs="Arial" w:eastAsia="Arial" w:hAnsi="Arial"/>
                <w:sz w:val="14"/>
                <w:szCs w:val="14"/>
                <w:color w:val="auto"/>
              </w:rPr>
              <w:t>Net deconsolidations of T. Rowe Price investment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gridSpan w:val="2"/>
            <w:vMerge w:val="restart"/>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color w:val="auto"/>
              </w:rPr>
              <w:t>(62.9)</w:t>
            </w:r>
          </w:p>
        </w:tc>
        <w:tc>
          <w:tcPr>
            <w:tcW w:w="0" w:type="dxa"/>
            <w:vAlign w:val="bottom"/>
          </w:tcPr>
          <w:p>
            <w:pPr>
              <w:spacing w:after="0"/>
              <w:rPr>
                <w:sz w:val="1"/>
                <w:szCs w:val="1"/>
                <w:color w:val="auto"/>
              </w:rPr>
            </w:pPr>
          </w:p>
        </w:tc>
      </w:tr>
      <w:tr>
        <w:trPr>
          <w:trHeight w:val="189"/>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products</w:t>
            </w: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March 31, 2022</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227,283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45.5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668.2</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5"/>
            <w:shd w:val="clear" w:color="auto" w:fill="CCEEFF"/>
          </w:tcPr>
          <w:p>
            <w:pPr>
              <w:jc w:val="right"/>
              <w:ind w:right="9"/>
              <w:spacing w:after="0"/>
              <w:rPr>
                <w:sz w:val="20"/>
                <w:szCs w:val="20"/>
                <w:color w:val="auto"/>
              </w:rPr>
            </w:pPr>
            <w:r>
              <w:rPr>
                <w:rFonts w:ascii="Arial" w:cs="Arial" w:eastAsia="Arial" w:hAnsi="Arial"/>
                <w:sz w:val="14"/>
                <w:szCs w:val="14"/>
                <w:color w:val="auto"/>
                <w:w w:val="95"/>
              </w:rPr>
              <w:t>$ 8,372.2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9,054.4</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272.2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9,326.6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790.4</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3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3"/>
          </w:tcPr>
          <w:p>
            <w:pPr>
              <w:spacing w:after="0"/>
              <w:rPr>
                <w:sz w:val="24"/>
                <w:szCs w:val="24"/>
                <w:color w:val="auto"/>
              </w:rPr>
            </w:pPr>
          </w:p>
        </w:tc>
        <w:tc>
          <w:tcPr>
            <w:tcW w:w="760" w:type="dxa"/>
            <w:vAlign w:val="bottom"/>
            <w:gridSpan w:val="3"/>
          </w:tcPr>
          <w:p>
            <w:pPr>
              <w:spacing w:after="0"/>
              <w:rPr>
                <w:sz w:val="24"/>
                <w:szCs w:val="24"/>
                <w:color w:val="auto"/>
              </w:rPr>
            </w:pPr>
          </w:p>
        </w:tc>
        <w:tc>
          <w:tcPr>
            <w:tcW w:w="80" w:type="dxa"/>
            <w:vAlign w:val="bottom"/>
            <w:gridSpan w:val="2"/>
          </w:tcPr>
          <w:p>
            <w:pPr>
              <w:spacing w:after="0"/>
              <w:rPr>
                <w:sz w:val="24"/>
                <w:szCs w:val="24"/>
                <w:color w:val="auto"/>
              </w:rPr>
            </w:pPr>
          </w:p>
        </w:tc>
        <w:tc>
          <w:tcPr>
            <w:tcW w:w="5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7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2060" w:type="dxa"/>
            <w:vAlign w:val="bottom"/>
            <w:tcBorders>
              <w:bottom w:val="single" w:sz="8" w:color="auto"/>
            </w:tcBorders>
            <w:gridSpan w:val="11"/>
            <w:shd w:val="clear" w:color="auto" w:fill="CCEEFF"/>
          </w:tcPr>
          <w:p>
            <w:pPr>
              <w:ind w:left="220"/>
              <w:spacing w:after="0"/>
              <w:rPr>
                <w:sz w:val="20"/>
                <w:szCs w:val="20"/>
                <w:color w:val="auto"/>
              </w:rPr>
            </w:pPr>
            <w:r>
              <w:rPr>
                <w:rFonts w:ascii="Arial" w:cs="Arial" w:eastAsia="Arial" w:hAnsi="Arial"/>
                <w:sz w:val="13"/>
                <w:szCs w:val="13"/>
                <w:b w:val="1"/>
                <w:bCs w:val="1"/>
                <w:color w:val="auto"/>
                <w:w w:val="96"/>
              </w:rPr>
              <w:t>Three months ended 3/31/2021</w:t>
            </w:r>
          </w:p>
        </w:tc>
        <w:tc>
          <w:tcPr>
            <w:tcW w:w="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5"/>
              </w:rPr>
              <w:t>Common</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5"/>
          </w:tcPr>
          <w:p>
            <w:pPr>
              <w:jc w:val="center"/>
              <w:ind w:right="100"/>
              <w:spacing w:after="0" w:line="126" w:lineRule="exact"/>
              <w:rPr>
                <w:sz w:val="20"/>
                <w:szCs w:val="20"/>
                <w:color w:val="auto"/>
              </w:rPr>
            </w:pPr>
            <w:r>
              <w:rPr>
                <w:rFonts w:ascii="Arial" w:cs="Arial" w:eastAsia="Arial" w:hAnsi="Arial"/>
                <w:sz w:val="13"/>
                <w:szCs w:val="13"/>
                <w:b w:val="1"/>
                <w:bCs w:val="1"/>
                <w:color w:val="auto"/>
                <w:w w:val="97"/>
              </w:rPr>
              <w:t>Additional</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ind w:left="20"/>
              <w:spacing w:after="0" w:line="126" w:lineRule="exact"/>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0"/>
                <w:szCs w:val="10"/>
                <w:color w:val="auto"/>
              </w:rPr>
            </w:pPr>
          </w:p>
        </w:tc>
        <w:tc>
          <w:tcPr>
            <w:tcW w:w="960" w:type="dxa"/>
            <w:vAlign w:val="bottom"/>
            <w:gridSpan w:val="4"/>
          </w:tcPr>
          <w:p>
            <w:pPr>
              <w:jc w:val="center"/>
              <w:spacing w:after="0" w:line="126" w:lineRule="exact"/>
              <w:rPr>
                <w:sz w:val="20"/>
                <w:szCs w:val="20"/>
                <w:color w:val="auto"/>
              </w:rPr>
            </w:pPr>
            <w:r>
              <w:rPr>
                <w:rFonts w:ascii="Arial" w:cs="Arial" w:eastAsia="Arial" w:hAnsi="Arial"/>
                <w:sz w:val="13"/>
                <w:szCs w:val="13"/>
                <w:b w:val="1"/>
                <w:bCs w:val="1"/>
                <w:color w:val="auto"/>
                <w:w w:val="96"/>
              </w:rPr>
              <w:t>Redeemable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3"/>
            <w:vMerge w:val="restart"/>
          </w:tcPr>
          <w:p>
            <w:pPr>
              <w:jc w:val="right"/>
              <w:ind w:right="20"/>
              <w:spacing w:after="0"/>
              <w:rPr>
                <w:sz w:val="20"/>
                <w:szCs w:val="20"/>
                <w:color w:val="auto"/>
              </w:rPr>
            </w:pPr>
            <w:r>
              <w:rPr>
                <w:rFonts w:ascii="Arial" w:cs="Arial" w:eastAsia="Arial" w:hAnsi="Arial"/>
                <w:sz w:val="13"/>
                <w:szCs w:val="13"/>
                <w:b w:val="1"/>
                <w:bCs w:val="1"/>
                <w:color w:val="auto"/>
                <w:w w:val="99"/>
              </w:rPr>
              <w:t>Common</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5"/>
          </w:tcPr>
          <w:p>
            <w:pPr>
              <w:jc w:val="center"/>
              <w:ind w:right="100"/>
              <w:spacing w:after="0" w:line="126" w:lineRule="exact"/>
              <w:rPr>
                <w:sz w:val="20"/>
                <w:szCs w:val="20"/>
                <w:color w:val="auto"/>
              </w:rPr>
            </w:pPr>
            <w:r>
              <w:rPr>
                <w:rFonts w:ascii="Arial" w:cs="Arial" w:eastAsia="Arial" w:hAnsi="Arial"/>
                <w:sz w:val="13"/>
                <w:szCs w:val="13"/>
                <w:b w:val="1"/>
                <w:bCs w:val="1"/>
                <w:color w:val="auto"/>
                <w:w w:val="95"/>
              </w:rPr>
              <w:t>capital in</w:t>
            </w: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Retained</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4"/>
          </w:tcPr>
          <w:p>
            <w:pPr>
              <w:jc w:val="right"/>
              <w:ind w:right="49"/>
              <w:spacing w:after="0" w:line="126" w:lineRule="exact"/>
              <w:rPr>
                <w:sz w:val="20"/>
                <w:szCs w:val="20"/>
                <w:color w:val="auto"/>
              </w:rPr>
            </w:pPr>
            <w:r>
              <w:rPr>
                <w:rFonts w:ascii="Arial" w:cs="Arial" w:eastAsia="Arial" w:hAnsi="Arial"/>
                <w:sz w:val="13"/>
                <w:szCs w:val="13"/>
                <w:b w:val="1"/>
                <w:bCs w:val="1"/>
                <w:color w:val="auto"/>
              </w:rPr>
              <w:t>permanent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3"/>
          </w:tcPr>
          <w:p>
            <w:pPr>
              <w:jc w:val="center"/>
              <w:ind w:right="399"/>
              <w:spacing w:after="0" w:line="126" w:lineRule="exact"/>
              <w:rPr>
                <w:sz w:val="20"/>
                <w:szCs w:val="20"/>
                <w:color w:val="auto"/>
              </w:rPr>
            </w:pPr>
            <w:r>
              <w:rPr>
                <w:rFonts w:ascii="Arial" w:cs="Arial" w:eastAsia="Arial" w:hAnsi="Arial"/>
                <w:sz w:val="13"/>
                <w:szCs w:val="13"/>
                <w:b w:val="1"/>
                <w:bCs w:val="1"/>
                <w:color w:val="auto"/>
                <w:w w:val="99"/>
              </w:rPr>
              <w:t>non-</w:t>
            </w:r>
          </w:p>
        </w:tc>
        <w:tc>
          <w:tcPr>
            <w:tcW w:w="0" w:type="dxa"/>
            <w:vAlign w:val="bottom"/>
          </w:tcPr>
          <w:p>
            <w:pPr>
              <w:spacing w:after="0"/>
              <w:rPr>
                <w:sz w:val="1"/>
                <w:szCs w:val="1"/>
                <w:color w:val="auto"/>
              </w:rPr>
            </w:pPr>
          </w:p>
        </w:tc>
      </w:tr>
      <w:tr>
        <w:trPr>
          <w:trHeight w:val="122"/>
        </w:trPr>
        <w:tc>
          <w:tcPr>
            <w:tcW w:w="3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3"/>
          </w:tcPr>
          <w:p>
            <w:pPr>
              <w:jc w:val="center"/>
              <w:spacing w:after="0" w:line="122" w:lineRule="exact"/>
              <w:rPr>
                <w:sz w:val="20"/>
                <w:szCs w:val="20"/>
                <w:color w:val="auto"/>
              </w:rPr>
            </w:pPr>
            <w:r>
              <w:rPr>
                <w:rFonts w:ascii="Arial" w:cs="Arial" w:eastAsia="Arial" w:hAnsi="Arial"/>
                <w:sz w:val="13"/>
                <w:szCs w:val="13"/>
                <w:b w:val="1"/>
                <w:bCs w:val="1"/>
                <w:color w:val="auto"/>
                <w:w w:val="95"/>
              </w:rPr>
              <w:t>shares</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5"/>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excess of</w:t>
            </w:r>
          </w:p>
        </w:tc>
        <w:tc>
          <w:tcPr>
            <w:tcW w:w="70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gridSpan w:val="2"/>
            <w:vMerge w:val="restart"/>
          </w:tcPr>
          <w:p>
            <w:pPr>
              <w:jc w:val="right"/>
              <w:ind w:right="9"/>
              <w:spacing w:after="0"/>
              <w:rPr>
                <w:sz w:val="20"/>
                <w:szCs w:val="20"/>
                <w:color w:val="auto"/>
              </w:rPr>
            </w:pPr>
            <w:r>
              <w:rPr>
                <w:rFonts w:ascii="Arial" w:cs="Arial" w:eastAsia="Arial" w:hAnsi="Arial"/>
                <w:sz w:val="13"/>
                <w:szCs w:val="13"/>
                <w:b w:val="1"/>
                <w:bCs w:val="1"/>
                <w:color w:val="auto"/>
              </w:rPr>
              <w:t>AOCI</w:t>
            </w:r>
            <w:r>
              <w:rPr>
                <w:rFonts w:ascii="Arial" w:cs="Arial" w:eastAsia="Arial" w:hAnsi="Arial"/>
                <w:sz w:val="16"/>
                <w:szCs w:val="16"/>
                <w:b w:val="1"/>
                <w:bCs w:val="1"/>
                <w:color w:val="auto"/>
                <w:vertAlign w:val="superscript"/>
              </w:rPr>
              <w:t>(1)</w:t>
            </w:r>
          </w:p>
        </w:tc>
        <w:tc>
          <w:tcPr>
            <w:tcW w:w="60" w:type="dxa"/>
            <w:vAlign w:val="bottom"/>
            <w:vMerge w:val="restart"/>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4"/>
          </w:tcPr>
          <w:p>
            <w:pPr>
              <w:ind w:left="20"/>
              <w:spacing w:after="0" w:line="122" w:lineRule="exact"/>
              <w:rPr>
                <w:sz w:val="20"/>
                <w:szCs w:val="20"/>
                <w:color w:val="auto"/>
              </w:rPr>
            </w:pPr>
            <w:r>
              <w:rPr>
                <w:rFonts w:ascii="Arial" w:cs="Arial" w:eastAsia="Arial" w:hAnsi="Arial"/>
                <w:sz w:val="13"/>
                <w:szCs w:val="13"/>
                <w:b w:val="1"/>
                <w:bCs w:val="1"/>
                <w:color w:val="auto"/>
                <w:w w:val="96"/>
              </w:rPr>
              <w:t>stockholders’</w:t>
            </w:r>
          </w:p>
        </w:tc>
        <w:tc>
          <w:tcPr>
            <w:tcW w:w="80" w:type="dxa"/>
            <w:vAlign w:val="bottom"/>
          </w:tcPr>
          <w:p>
            <w:pPr>
              <w:spacing w:after="0"/>
              <w:rPr>
                <w:sz w:val="10"/>
                <w:szCs w:val="10"/>
                <w:color w:val="auto"/>
              </w:rPr>
            </w:pPr>
          </w:p>
        </w:tc>
        <w:tc>
          <w:tcPr>
            <w:tcW w:w="1120" w:type="dxa"/>
            <w:vAlign w:val="bottom"/>
            <w:gridSpan w:val="5"/>
          </w:tcPr>
          <w:p>
            <w:pPr>
              <w:jc w:val="center"/>
              <w:ind w:right="119"/>
              <w:spacing w:after="0" w:line="122" w:lineRule="exact"/>
              <w:rPr>
                <w:sz w:val="20"/>
                <w:szCs w:val="20"/>
                <w:color w:val="auto"/>
              </w:rPr>
            </w:pPr>
            <w:r>
              <w:rPr>
                <w:rFonts w:ascii="Arial" w:cs="Arial" w:eastAsia="Arial" w:hAnsi="Arial"/>
                <w:sz w:val="13"/>
                <w:szCs w:val="13"/>
                <w:b w:val="1"/>
                <w:bCs w:val="1"/>
                <w:color w:val="auto"/>
                <w:w w:val="95"/>
              </w:rPr>
              <w:t>controlling</w:t>
            </w:r>
          </w:p>
        </w:tc>
        <w:tc>
          <w:tcPr>
            <w:tcW w:w="0" w:type="dxa"/>
            <w:vAlign w:val="bottom"/>
          </w:tcPr>
          <w:p>
            <w:pPr>
              <w:spacing w:after="0"/>
              <w:rPr>
                <w:sz w:val="1"/>
                <w:szCs w:val="1"/>
                <w:color w:val="auto"/>
              </w:rPr>
            </w:pPr>
          </w:p>
        </w:tc>
      </w:tr>
      <w:tr>
        <w:trPr>
          <w:trHeight w:val="176"/>
        </w:trPr>
        <w:tc>
          <w:tcPr>
            <w:tcW w:w="372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6"/>
              </w:rPr>
              <w:t>outstanding</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b w:val="1"/>
                <w:bCs w:val="1"/>
                <w:color w:val="auto"/>
                <w:w w:val="99"/>
              </w:rPr>
              <w:t>stock</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4"/>
              </w:rPr>
              <w:t>par value</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earnings</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gridSpan w:val="2"/>
            <w:vMerge w:val="continue"/>
          </w:tcPr>
          <w:p>
            <w:pPr>
              <w:spacing w:after="0"/>
              <w:rPr>
                <w:sz w:val="15"/>
                <w:szCs w:val="15"/>
                <w:color w:val="auto"/>
              </w:rPr>
            </w:pPr>
          </w:p>
        </w:tc>
        <w:tc>
          <w:tcPr>
            <w:tcW w:w="6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3"/>
          </w:tcPr>
          <w:p>
            <w:pPr>
              <w:jc w:val="right"/>
              <w:ind w:right="169"/>
              <w:spacing w:after="0"/>
              <w:rPr>
                <w:sz w:val="20"/>
                <w:szCs w:val="20"/>
                <w:color w:val="auto"/>
              </w:rPr>
            </w:pPr>
            <w:r>
              <w:rPr>
                <w:rFonts w:ascii="Arial" w:cs="Arial" w:eastAsia="Arial" w:hAnsi="Arial"/>
                <w:sz w:val="13"/>
                <w:szCs w:val="13"/>
                <w:b w:val="1"/>
                <w:bCs w:val="1"/>
                <w:color w:val="auto"/>
              </w:rPr>
              <w:t>equity</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3"/>
          </w:tcPr>
          <w:p>
            <w:pPr>
              <w:jc w:val="center"/>
              <w:ind w:right="129"/>
              <w:spacing w:after="0"/>
              <w:rPr>
                <w:sz w:val="20"/>
                <w:szCs w:val="20"/>
                <w:color w:val="auto"/>
              </w:rPr>
            </w:pPr>
            <w:r>
              <w:rPr>
                <w:rFonts w:ascii="Arial" w:cs="Arial" w:eastAsia="Arial" w:hAnsi="Arial"/>
                <w:sz w:val="13"/>
                <w:szCs w:val="13"/>
                <w:b w:val="1"/>
                <w:bCs w:val="1"/>
                <w:color w:val="auto"/>
                <w:w w:val="95"/>
              </w:rPr>
              <w:t>interests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December 31, 2020</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227,965</w:t>
            </w:r>
          </w:p>
        </w:tc>
        <w:tc>
          <w:tcPr>
            <w:tcW w:w="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45.6</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654.6</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$ 7,029.8</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7,707.0</w:t>
            </w:r>
          </w:p>
        </w:tc>
        <w:tc>
          <w:tcPr>
            <w:tcW w:w="2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1,561.7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749.4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749.4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20" w:type="dxa"/>
            <w:vAlign w:val="bottom"/>
          </w:tcPr>
          <w:p>
            <w:pPr>
              <w:ind w:left="20"/>
              <w:spacing w:after="0"/>
              <w:rPr>
                <w:sz w:val="20"/>
                <w:szCs w:val="20"/>
                <w:color w:val="auto"/>
              </w:rPr>
            </w:pPr>
            <w:r>
              <w:rPr>
                <w:rFonts w:ascii="Arial" w:cs="Arial" w:eastAsia="Arial" w:hAnsi="Arial"/>
                <w:sz w:val="14"/>
                <w:szCs w:val="14"/>
                <w:color w:val="auto"/>
              </w:rPr>
              <w:t>Dividends declared ($1.08 per share)</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(252.3)</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(252.3)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upon option exercises</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572</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20" w:type="dxa"/>
            <w:vAlign w:val="bottom"/>
          </w:tcPr>
          <w:p>
            <w:pPr>
              <w:ind w:left="20"/>
              <w:spacing w:after="0"/>
              <w:rPr>
                <w:sz w:val="20"/>
                <w:szCs w:val="20"/>
                <w:color w:val="auto"/>
              </w:rPr>
            </w:pPr>
            <w:r>
              <w:rPr>
                <w:rFonts w:ascii="Arial" w:cs="Arial" w:eastAsia="Arial" w:hAnsi="Arial"/>
                <w:sz w:val="14"/>
                <w:szCs w:val="14"/>
                <w:color w:val="auto"/>
              </w:rPr>
              <w:t>Net shares issued upon vesting of restricted stock units</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41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7"/>
                <w:szCs w:val="17"/>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57.5</w:t>
            </w: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20" w:type="dxa"/>
            <w:vAlign w:val="bottom"/>
          </w:tcPr>
          <w:p>
            <w:pPr>
              <w:ind w:left="20"/>
              <w:spacing w:after="0"/>
              <w:rPr>
                <w:sz w:val="20"/>
                <w:szCs w:val="20"/>
                <w:color w:val="auto"/>
              </w:rPr>
            </w:pPr>
            <w:r>
              <w:rPr>
                <w:rFonts w:ascii="Arial" w:cs="Arial" w:eastAsia="Arial" w:hAnsi="Arial"/>
                <w:sz w:val="14"/>
                <w:szCs w:val="14"/>
                <w:color w:val="auto"/>
              </w:rPr>
              <w:t>Restricted stock units issued as dividend equivalents</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shares repurchased</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(1,630)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(79.2)</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(188.1)</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20" w:type="dxa"/>
            <w:vAlign w:val="bottom"/>
          </w:tcPr>
          <w:p>
            <w:pPr>
              <w:ind w:left="20"/>
              <w:spacing w:after="0"/>
              <w:rPr>
                <w:sz w:val="20"/>
                <w:szCs w:val="20"/>
                <w:color w:val="auto"/>
              </w:rPr>
            </w:pPr>
            <w:r>
              <w:rPr>
                <w:rFonts w:ascii="Arial" w:cs="Arial" w:eastAsia="Arial" w:hAnsi="Arial"/>
                <w:sz w:val="14"/>
                <w:szCs w:val="14"/>
                <w:color w:val="auto"/>
              </w:rPr>
              <w:t>Net subscriptions into T. Rowe Price investment products</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187.5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Net deconsolidations of T. Rowe Price investment products</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(739.9)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720" w:type="dxa"/>
            <w:vAlign w:val="bottom"/>
          </w:tcPr>
          <w:p>
            <w:pPr>
              <w:ind w:left="20"/>
              <w:spacing w:after="0"/>
              <w:rPr>
                <w:sz w:val="20"/>
                <w:szCs w:val="20"/>
                <w:color w:val="auto"/>
              </w:rPr>
            </w:pPr>
            <w:r>
              <w:rPr>
                <w:rFonts w:ascii="Arial" w:cs="Arial" w:eastAsia="Arial" w:hAnsi="Arial"/>
                <w:sz w:val="14"/>
                <w:szCs w:val="14"/>
                <w:color w:val="auto"/>
              </w:rPr>
              <w:t>Balances at March 31, 2021</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226,948</w:t>
            </w:r>
          </w:p>
        </w:tc>
        <w:tc>
          <w:tcPr>
            <w:tcW w:w="4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45.4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654.6</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5"/>
              </w:rPr>
              <w:t>$ 7,338.7</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(30.5)</w:t>
            </w:r>
          </w:p>
        </w:tc>
        <w:tc>
          <w:tcPr>
            <w:tcW w:w="60" w:type="dxa"/>
            <w:vAlign w:val="bottom"/>
          </w:tcPr>
          <w:p>
            <w:pPr>
              <w:spacing w:after="0"/>
              <w:rPr>
                <w:sz w:val="17"/>
                <w:szCs w:val="17"/>
                <w:color w:val="auto"/>
              </w:rPr>
            </w:pPr>
          </w:p>
        </w:tc>
        <w:tc>
          <w:tcPr>
            <w:tcW w:w="2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8,008.2</w:t>
            </w:r>
          </w:p>
        </w:tc>
        <w:tc>
          <w:tcPr>
            <w:tcW w:w="280" w:type="dxa"/>
            <w:vAlign w:val="bottom"/>
            <w:gridSpan w:val="2"/>
          </w:tcPr>
          <w:p>
            <w:pPr>
              <w:jc w:val="right"/>
              <w:ind w:right="3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1,012.9</w:t>
            </w:r>
          </w:p>
        </w:tc>
        <w:tc>
          <w:tcPr>
            <w:tcW w:w="160" w:type="dxa"/>
            <w:vAlign w:val="bottom"/>
            <w:vMerge w:val="restart"/>
          </w:tcPr>
          <w:p>
            <w:pPr>
              <w:jc w:val="right"/>
              <w:ind w:right="19"/>
              <w:spacing w:after="0"/>
              <w:rPr>
                <w:sz w:val="20"/>
                <w:szCs w:val="20"/>
                <w:color w:val="auto"/>
              </w:rPr>
            </w:pPr>
            <w:r>
              <w:rPr>
                <w:rFonts w:ascii="Arial" w:cs="Arial" w:eastAsia="Arial" w:hAnsi="Arial"/>
                <w:sz w:val="8"/>
                <w:szCs w:val="8"/>
                <w:i w:val="1"/>
                <w:iCs w:val="1"/>
                <w:color w:val="auto"/>
                <w:w w:val="81"/>
              </w:rPr>
              <w:t>(1)</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9" w:lineRule="exact"/>
        <w:rPr>
          <w:sz w:val="20"/>
          <w:szCs w:val="20"/>
          <w:color w:val="auto"/>
        </w:rPr>
      </w:pPr>
    </w:p>
    <w:p>
      <w:pPr>
        <w:ind w:left="180"/>
        <w:spacing w:after="0"/>
        <w:rPr>
          <w:sz w:val="20"/>
          <w:szCs w:val="20"/>
          <w:color w:val="auto"/>
        </w:rPr>
      </w:pPr>
      <w:r>
        <w:rPr>
          <w:rFonts w:ascii="Arial" w:cs="Arial" w:eastAsia="Arial" w:hAnsi="Arial"/>
          <w:sz w:val="13"/>
          <w:szCs w:val="13"/>
          <w:i w:val="1"/>
          <w:iCs w:val="1"/>
          <w:color w:val="auto"/>
        </w:rPr>
        <w:t>Accumulated other comprehensive income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NOTES TO UNAUDITED CONDENSED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 AND BASIS OF PREPARATION.</w:t>
      </w:r>
    </w:p>
    <w:p>
      <w:pPr>
        <w:spacing w:after="0" w:line="25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 Rowe Price Group Inc. derives its consolidated revenues and net income primarily from investment advisory services that its subsidiaries provide to individual and institutional investors in the T. Rowe Price U.S. mutual funds (“U.S. mutual funds”), subadvised funds, separately managed accounts, collective investment trusts, and other</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affiliated products. The other affiliated products include: open-ended investment products offered to investors outside the U.S., products offered through variable annuity life insurance plans in the U.S., affiliated private investment funds or private accounts, and collateralized loan obligations.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non-discretionary advisory services through model delivery. Additionally, we also derive revenue from our interests in general partners of certain affiliated private investment funds that are entitled to a disproportionate allocation of income through capital allocation-based arrangements.</w:t>
      </w:r>
    </w:p>
    <w:p>
      <w:pPr>
        <w:spacing w:after="0" w:line="21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8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December 29, 2021, we completed our acquisition of Oak Hill Advisors, L.P., a leading alternative credit manager, and other entities that had common ownership (collectively, OHA). We acquired 100% of the equity interests of Oak Hill Advisors, L.P., 100% of the equity interests in entities that make co-investments in certain affiliated private investment funds (the "co -investment entities") and a majority of the equity interests in entities that have interests in general partners of affiliated private investment funds and are entitled to a disproportionate allocation of income (the "carried interest entities"). As of March 31, 2022, OHA had $57 billion of capital under management (which includes net assets value, portfolio value and/or unfunded capital). We have reflected the financial position, operating results and cash flows of OHA in these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25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These unaudited condensed consolidated financial statements are prepared in accordance with accounting principles generally accepted in the United States. These principles require the use of estimates and reflect all adjustments that are, in the opinion of management, necessary for a fair statement of our results for the interim periods presented. All such adjustments are of a normal recurring nature. Actual results may vary from our estimates.</w:t>
      </w:r>
    </w:p>
    <w:p>
      <w:pPr>
        <w:spacing w:after="0" w:line="203"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 unaudited interim financial information contained in these unaudited condensed consolidated financial statements should be read in conjunction with the consolidated financial statements contained in our 2021 Annual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 ISSUED BUT NOT YET ADOPTED ACCOUNTING GUIDANCE.</w:t>
      </w:r>
    </w:p>
    <w:p>
      <w:pPr>
        <w:spacing w:after="0" w:line="25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have considered all newly issued accounting guidance that is applicable to our operations and the preparation of our unaudited condensed consolidated statements, including those we have not yet adopted. We do not believe that any such guidance has or will have a material effect on our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0" w:right="3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2 – INFORMATION ABOUT RECEIVABLES, REVENUES, AND SERVICES.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Revenues earned under agreements with clients include: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3400" w:type="dxa"/>
            <w:vAlign w:val="bottom"/>
            <w:tcBorders>
              <w:bottom w:val="single" w:sz="8" w:color="auto"/>
            </w:tcBorders>
            <w:gridSpan w:val="8"/>
            <w:shd w:val="clear" w:color="auto" w:fill="CCEEFF"/>
          </w:tcPr>
          <w:p>
            <w:pPr>
              <w:ind w:left="640"/>
              <w:spacing w:after="0"/>
              <w:rPr>
                <w:sz w:val="20"/>
                <w:szCs w:val="20"/>
                <w:color w:val="auto"/>
              </w:rPr>
            </w:pPr>
            <w:r>
              <w:rPr>
                <w:rFonts w:ascii="Arial" w:cs="Arial" w:eastAsia="Arial" w:hAnsi="Arial"/>
                <w:sz w:val="13"/>
                <w:szCs w:val="13"/>
                <w:b w:val="1"/>
                <w:bCs w:val="1"/>
                <w:color w:val="auto"/>
              </w:rPr>
              <w:t>Three months ended 3/31/2022</w:t>
            </w:r>
          </w:p>
        </w:tc>
        <w:tc>
          <w:tcPr>
            <w:tcW w:w="2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2340" w:type="dxa"/>
            <w:vAlign w:val="bottom"/>
            <w:tcBorders>
              <w:bottom w:val="single" w:sz="8" w:color="auto"/>
            </w:tcBorders>
            <w:gridSpan w:val="5"/>
            <w:shd w:val="clear" w:color="auto" w:fill="CCEEFF"/>
          </w:tcPr>
          <w:p>
            <w:pPr>
              <w:jc w:val="center"/>
              <w:ind w:right="280"/>
              <w:spacing w:after="0"/>
              <w:rPr>
                <w:sz w:val="20"/>
                <w:szCs w:val="20"/>
                <w:color w:val="auto"/>
              </w:rPr>
            </w:pPr>
            <w:r>
              <w:rPr>
                <w:rFonts w:ascii="Arial" w:cs="Arial" w:eastAsia="Arial" w:hAnsi="Arial"/>
                <w:sz w:val="13"/>
                <w:szCs w:val="13"/>
                <w:b w:val="1"/>
                <w:bCs w:val="1"/>
                <w:color w:val="auto"/>
              </w:rPr>
              <w:t>Three months ended 3/31/2021</w:t>
            </w:r>
          </w:p>
        </w:tc>
        <w:tc>
          <w:tcPr>
            <w:tcW w:w="2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40" w:type="dxa"/>
            <w:vAlign w:val="bottom"/>
            <w:gridSpan w:val="5"/>
          </w:tcPr>
          <w:p>
            <w:pPr>
              <w:jc w:val="center"/>
              <w:ind w:right="260"/>
              <w:spacing w:after="0" w:line="129" w:lineRule="exact"/>
              <w:rPr>
                <w:sz w:val="20"/>
                <w:szCs w:val="20"/>
                <w:color w:val="auto"/>
              </w:rPr>
            </w:pPr>
            <w:r>
              <w:rPr>
                <w:rFonts w:ascii="Arial" w:cs="Arial" w:eastAsia="Arial" w:hAnsi="Arial"/>
                <w:sz w:val="13"/>
                <w:szCs w:val="13"/>
                <w:b w:val="1"/>
                <w:bCs w:val="1"/>
                <w:color w:val="auto"/>
              </w:rPr>
              <w:t>Administrative, distribution, and</w:t>
            </w: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40" w:type="dxa"/>
            <w:vAlign w:val="bottom"/>
            <w:gridSpan w:val="5"/>
          </w:tcPr>
          <w:p>
            <w:pPr>
              <w:jc w:val="center"/>
              <w:ind w:right="260"/>
              <w:spacing w:after="0" w:line="129" w:lineRule="exact"/>
              <w:rPr>
                <w:sz w:val="20"/>
                <w:szCs w:val="20"/>
                <w:color w:val="auto"/>
              </w:rPr>
            </w:pPr>
            <w:r>
              <w:rPr>
                <w:rFonts w:ascii="Arial" w:cs="Arial" w:eastAsia="Arial" w:hAnsi="Arial"/>
                <w:sz w:val="13"/>
                <w:szCs w:val="13"/>
                <w:b w:val="1"/>
                <w:bCs w:val="1"/>
                <w:color w:val="auto"/>
              </w:rPr>
              <w:t>Administrative, distribution, and</w:t>
            </w: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0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center"/>
              <w:ind w:left="346"/>
              <w:spacing w:after="0"/>
              <w:rPr>
                <w:sz w:val="20"/>
                <w:szCs w:val="20"/>
                <w:color w:val="auto"/>
              </w:rPr>
            </w:pPr>
            <w:r>
              <w:rPr>
                <w:rFonts w:ascii="Arial" w:cs="Arial" w:eastAsia="Arial" w:hAnsi="Arial"/>
                <w:sz w:val="13"/>
                <w:szCs w:val="13"/>
                <w:b w:val="1"/>
                <w:bCs w:val="1"/>
                <w:color w:val="auto"/>
              </w:rPr>
              <w:t>servicing fees</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center"/>
              <w:ind w:left="346"/>
              <w:spacing w:after="0"/>
              <w:rPr>
                <w:sz w:val="20"/>
                <w:szCs w:val="20"/>
                <w:color w:val="auto"/>
              </w:rPr>
            </w:pPr>
            <w:r>
              <w:rPr>
                <w:rFonts w:ascii="Arial" w:cs="Arial" w:eastAsia="Arial" w:hAnsi="Arial"/>
                <w:sz w:val="13"/>
                <w:szCs w:val="13"/>
                <w:b w:val="1"/>
                <w:bCs w:val="1"/>
                <w:color w:val="auto"/>
              </w:rPr>
              <w:t>servicing fees</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rPr>
              <w:t>Investment</w:t>
            </w: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gridSpan w:val="3"/>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rPr>
              <w:t>Distribution and</w:t>
            </w:r>
          </w:p>
        </w:tc>
        <w:tc>
          <w:tcPr>
            <w:tcW w:w="14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center"/>
              <w:ind w:right="240"/>
              <w:spacing w:after="0" w:line="115" w:lineRule="exact"/>
              <w:rPr>
                <w:sz w:val="20"/>
                <w:szCs w:val="20"/>
                <w:color w:val="auto"/>
              </w:rPr>
            </w:pPr>
            <w:r>
              <w:rPr>
                <w:rFonts w:ascii="Arial" w:cs="Arial" w:eastAsia="Arial" w:hAnsi="Arial"/>
                <w:sz w:val="13"/>
                <w:szCs w:val="13"/>
                <w:b w:val="1"/>
                <w:bCs w:val="1"/>
                <w:color w:val="auto"/>
              </w:rPr>
              <w:t>Capital</w:t>
            </w:r>
          </w:p>
        </w:tc>
        <w:tc>
          <w:tcPr>
            <w:tcW w:w="2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99"/>
              </w:rPr>
              <w:t>Investment</w:t>
            </w:r>
          </w:p>
        </w:tc>
        <w:tc>
          <w:tcPr>
            <w:tcW w:w="1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gridSpan w:val="3"/>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rPr>
              <w:t>Distribution and</w:t>
            </w:r>
          </w:p>
        </w:tc>
        <w:tc>
          <w:tcPr>
            <w:tcW w:w="2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124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rPr>
              <w:t>Administrative fees</w:t>
            </w:r>
          </w:p>
        </w:tc>
        <w:tc>
          <w:tcPr>
            <w:tcW w:w="120" w:type="dxa"/>
            <w:vAlign w:val="bottom"/>
            <w:vMerge w:val="restart"/>
            <w:shd w:val="clear" w:color="auto" w:fill="CCEEFF"/>
          </w:tcPr>
          <w:p>
            <w:pPr>
              <w:spacing w:after="0"/>
              <w:rPr>
                <w:sz w:val="11"/>
                <w:szCs w:val="11"/>
                <w:color w:val="auto"/>
              </w:rPr>
            </w:pPr>
          </w:p>
        </w:tc>
        <w:tc>
          <w:tcPr>
            <w:tcW w:w="1140" w:type="dxa"/>
            <w:vAlign w:val="bottom"/>
            <w:gridSpan w:val="3"/>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3"/>
                <w:szCs w:val="13"/>
                <w:b w:val="1"/>
                <w:bCs w:val="1"/>
                <w:color w:val="auto"/>
                <w:w w:val="98"/>
              </w:rPr>
              <w:t>allocation-</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Net revenues</w:t>
            </w:r>
          </w:p>
        </w:tc>
        <w:tc>
          <w:tcPr>
            <w:tcW w:w="120" w:type="dxa"/>
            <w:vAlign w:val="bottom"/>
            <w:vMerge w:val="restart"/>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vMerge w:val="continue"/>
            <w:shd w:val="clear" w:color="auto" w:fill="CCEEFF"/>
          </w:tcPr>
          <w:p>
            <w:pPr>
              <w:spacing w:after="0"/>
              <w:rPr>
                <w:sz w:val="11"/>
                <w:szCs w:val="11"/>
                <w:color w:val="auto"/>
              </w:rPr>
            </w:pPr>
          </w:p>
        </w:tc>
        <w:tc>
          <w:tcPr>
            <w:tcW w:w="126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rPr>
              <w:t>Administrative fees</w:t>
            </w:r>
          </w:p>
        </w:tc>
        <w:tc>
          <w:tcPr>
            <w:tcW w:w="100" w:type="dxa"/>
            <w:vAlign w:val="bottom"/>
            <w:vMerge w:val="restart"/>
            <w:shd w:val="clear" w:color="auto" w:fill="CCEEFF"/>
          </w:tcPr>
          <w:p>
            <w:pPr>
              <w:spacing w:after="0"/>
              <w:rPr>
                <w:sz w:val="11"/>
                <w:szCs w:val="11"/>
                <w:color w:val="auto"/>
              </w:rPr>
            </w:pPr>
          </w:p>
        </w:tc>
        <w:tc>
          <w:tcPr>
            <w:tcW w:w="1140" w:type="dxa"/>
            <w:vAlign w:val="bottom"/>
            <w:gridSpan w:val="3"/>
            <w:vMerge w:val="continue"/>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Net revenues</w:t>
            </w:r>
          </w:p>
        </w:tc>
        <w:tc>
          <w:tcPr>
            <w:tcW w:w="0" w:type="dxa"/>
            <w:vAlign w:val="bottom"/>
          </w:tcPr>
          <w:p>
            <w:pPr>
              <w:spacing w:after="0"/>
              <w:rPr>
                <w:sz w:val="1"/>
                <w:szCs w:val="1"/>
                <w:color w:val="auto"/>
              </w:rPr>
            </w:pPr>
          </w:p>
        </w:tc>
      </w:tr>
      <w:tr>
        <w:trPr>
          <w:trHeight w:val="176"/>
        </w:trPr>
        <w:tc>
          <w:tcPr>
            <w:tcW w:w="1000" w:type="dxa"/>
            <w:vAlign w:val="bottom"/>
            <w:vMerge w:val="continue"/>
            <w:shd w:val="clear" w:color="auto" w:fill="CCEEFF"/>
          </w:tcPr>
          <w:p>
            <w:pPr>
              <w:spacing w:after="0"/>
              <w:rPr>
                <w:sz w:val="15"/>
                <w:szCs w:val="15"/>
                <w:color w:val="auto"/>
              </w:rPr>
            </w:pPr>
          </w:p>
        </w:tc>
        <w:tc>
          <w:tcPr>
            <w:tcW w:w="94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3"/>
                <w:szCs w:val="13"/>
                <w:b w:val="1"/>
                <w:bCs w:val="1"/>
                <w:color w:val="auto"/>
              </w:rPr>
              <w:t>advisory fees</w:t>
            </w:r>
          </w:p>
        </w:tc>
        <w:tc>
          <w:tcPr>
            <w:tcW w:w="100" w:type="dxa"/>
            <w:vAlign w:val="bottom"/>
            <w:shd w:val="clear" w:color="auto" w:fill="CCEEFF"/>
          </w:tcPr>
          <w:p>
            <w:pPr>
              <w:spacing w:after="0"/>
              <w:rPr>
                <w:sz w:val="15"/>
                <w:szCs w:val="15"/>
                <w:color w:val="auto"/>
              </w:rPr>
            </w:pPr>
          </w:p>
        </w:tc>
        <w:tc>
          <w:tcPr>
            <w:tcW w:w="1240" w:type="dxa"/>
            <w:vAlign w:val="bottom"/>
            <w:tcBorders>
              <w:bottom w:val="single" w:sz="8" w:color="auto"/>
            </w:tcBorders>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servicing fees</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3"/>
                <w:szCs w:val="13"/>
                <w:b w:val="1"/>
                <w:bCs w:val="1"/>
                <w:color w:val="auto"/>
              </w:rPr>
              <w:t>based income</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96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3"/>
                <w:szCs w:val="13"/>
                <w:b w:val="1"/>
                <w:bCs w:val="1"/>
                <w:color w:val="auto"/>
              </w:rPr>
              <w:t>advisory fees</w:t>
            </w:r>
          </w:p>
        </w:tc>
        <w:tc>
          <w:tcPr>
            <w:tcW w:w="120" w:type="dxa"/>
            <w:vAlign w:val="bottom"/>
            <w:shd w:val="clear" w:color="auto" w:fill="CCEEFF"/>
          </w:tcPr>
          <w:p>
            <w:pPr>
              <w:spacing w:after="0"/>
              <w:rPr>
                <w:sz w:val="15"/>
                <w:szCs w:val="15"/>
                <w:color w:val="auto"/>
              </w:rPr>
            </w:pPr>
          </w:p>
        </w:tc>
        <w:tc>
          <w:tcPr>
            <w:tcW w:w="1260" w:type="dxa"/>
            <w:vAlign w:val="bottom"/>
            <w:tcBorders>
              <w:bottom w:val="single" w:sz="8" w:color="auto"/>
            </w:tcBorders>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servicing fees</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000" w:type="dxa"/>
            <w:vAlign w:val="bottom"/>
          </w:tcPr>
          <w:p>
            <w:pPr>
              <w:ind w:left="20"/>
              <w:spacing w:after="0" w:line="129" w:lineRule="exact"/>
              <w:rPr>
                <w:sz w:val="20"/>
                <w:szCs w:val="20"/>
                <w:color w:val="auto"/>
              </w:rPr>
            </w:pPr>
            <w:r>
              <w:rPr>
                <w:rFonts w:ascii="Arial" w:cs="Arial" w:eastAsia="Arial" w:hAnsi="Arial"/>
                <w:sz w:val="14"/>
                <w:szCs w:val="14"/>
                <w:color w:val="auto"/>
              </w:rPr>
              <w:t>U.S. mutual</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rPr>
              <w:t>976.5</w:t>
            </w:r>
          </w:p>
        </w:tc>
        <w:tc>
          <w:tcPr>
            <w:tcW w:w="100" w:type="dxa"/>
            <w:vAlign w:val="bottom"/>
          </w:tcPr>
          <w:p>
            <w:pPr>
              <w:spacing w:after="0"/>
              <w:rPr>
                <w:sz w:val="11"/>
                <w:szCs w:val="11"/>
                <w:color w:val="auto"/>
              </w:rPr>
            </w:pPr>
          </w:p>
        </w:tc>
        <w:tc>
          <w:tcPr>
            <w:tcW w:w="1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93.1</w:t>
            </w:r>
          </w:p>
        </w:tc>
        <w:tc>
          <w:tcPr>
            <w:tcW w:w="120" w:type="dxa"/>
            <w:vAlign w:val="bottom"/>
          </w:tcPr>
          <w:p>
            <w:pPr>
              <w:spacing w:after="0"/>
              <w:rPr>
                <w:sz w:val="11"/>
                <w:szCs w:val="11"/>
                <w:color w:val="auto"/>
              </w:rPr>
            </w:pPr>
          </w:p>
        </w:tc>
        <w:tc>
          <w:tcPr>
            <w:tcW w:w="4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jc w:val="right"/>
              <w:ind w:right="64"/>
              <w:spacing w:after="0"/>
              <w:rPr>
                <w:sz w:val="20"/>
                <w:szCs w:val="20"/>
                <w:color w:val="auto"/>
              </w:rPr>
            </w:pPr>
            <w:r>
              <w:rPr>
                <w:rFonts w:ascii="Arial" w:cs="Arial" w:eastAsia="Arial" w:hAnsi="Arial"/>
                <w:sz w:val="16"/>
                <w:szCs w:val="16"/>
                <w:color w:val="auto"/>
                <w:w w:val="89"/>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1,095.9</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1,050.2</w:t>
            </w:r>
          </w:p>
        </w:tc>
        <w:tc>
          <w:tcPr>
            <w:tcW w:w="120" w:type="dxa"/>
            <w:vAlign w:val="bottom"/>
          </w:tcPr>
          <w:p>
            <w:pPr>
              <w:spacing w:after="0"/>
              <w:rPr>
                <w:sz w:val="11"/>
                <w:szCs w:val="11"/>
                <w:color w:val="auto"/>
              </w:rPr>
            </w:pPr>
          </w:p>
        </w:tc>
        <w:tc>
          <w:tcPr>
            <w:tcW w:w="1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ind w:right="6"/>
              <w:spacing w:after="0"/>
              <w:rPr>
                <w:sz w:val="20"/>
                <w:szCs w:val="20"/>
                <w:color w:val="auto"/>
              </w:rPr>
            </w:pPr>
            <w:r>
              <w:rPr>
                <w:rFonts w:ascii="Arial" w:cs="Arial" w:eastAsia="Arial" w:hAnsi="Arial"/>
                <w:sz w:val="16"/>
                <w:szCs w:val="16"/>
                <w:color w:val="auto"/>
              </w:rPr>
              <w:t>78.7</w:t>
            </w:r>
          </w:p>
        </w:tc>
        <w:tc>
          <w:tcPr>
            <w:tcW w:w="100" w:type="dxa"/>
            <w:vAlign w:val="bottom"/>
          </w:tcPr>
          <w:p>
            <w:pPr>
              <w:spacing w:after="0"/>
              <w:rPr>
                <w:sz w:val="11"/>
                <w:szCs w:val="11"/>
                <w:color w:val="auto"/>
              </w:rPr>
            </w:pPr>
          </w:p>
        </w:tc>
        <w:tc>
          <w:tcPr>
            <w:tcW w:w="4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11"/>
                <w:szCs w:val="11"/>
                <w:color w:val="auto"/>
              </w:rPr>
            </w:pPr>
          </w:p>
        </w:tc>
        <w:tc>
          <w:tcPr>
            <w:tcW w:w="240" w:type="dxa"/>
            <w:vAlign w:val="bottom"/>
            <w:vMerge w:val="restart"/>
          </w:tcPr>
          <w:p>
            <w:pPr>
              <w:jc w:val="right"/>
              <w:ind w:right="44"/>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1,158.0</w:t>
            </w:r>
          </w:p>
        </w:tc>
        <w:tc>
          <w:tcPr>
            <w:tcW w:w="0" w:type="dxa"/>
            <w:vAlign w:val="bottom"/>
          </w:tcPr>
          <w:p>
            <w:pPr>
              <w:spacing w:after="0"/>
              <w:rPr>
                <w:sz w:val="1"/>
                <w:szCs w:val="1"/>
                <w:color w:val="auto"/>
              </w:rPr>
            </w:pPr>
          </w:p>
        </w:tc>
      </w:tr>
      <w:tr>
        <w:trPr>
          <w:trHeight w:val="189"/>
        </w:trPr>
        <w:tc>
          <w:tcPr>
            <w:tcW w:w="1000" w:type="dxa"/>
            <w:vAlign w:val="bottom"/>
          </w:tcPr>
          <w:p>
            <w:pPr>
              <w:ind w:left="20"/>
              <w:spacing w:after="0"/>
              <w:rPr>
                <w:sz w:val="20"/>
                <w:szCs w:val="20"/>
                <w:color w:val="auto"/>
              </w:rPr>
            </w:pPr>
            <w:r>
              <w:rPr>
                <w:rFonts w:ascii="Arial" w:cs="Arial" w:eastAsia="Arial" w:hAnsi="Arial"/>
                <w:sz w:val="14"/>
                <w:szCs w:val="14"/>
                <w:color w:val="auto"/>
              </w:rPr>
              <w:t>funds</w:t>
            </w:r>
          </w:p>
        </w:tc>
        <w:tc>
          <w:tcPr>
            <w:tcW w:w="1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0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Subadvised</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funds,</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separate</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accounts,</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collective</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investment</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trusts, and</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other</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investment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685.6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730.0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637.6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637.6</w:t>
            </w:r>
          </w:p>
        </w:tc>
        <w:tc>
          <w:tcPr>
            <w:tcW w:w="0" w:type="dxa"/>
            <w:vAlign w:val="bottom"/>
          </w:tcPr>
          <w:p>
            <w:pPr>
              <w:spacing w:after="0"/>
              <w:rPr>
                <w:sz w:val="1"/>
                <w:szCs w:val="1"/>
                <w:color w:val="auto"/>
              </w:rPr>
            </w:pPr>
          </w:p>
        </w:tc>
      </w:tr>
      <w:tr>
        <w:trPr>
          <w:trHeight w:val="198"/>
        </w:trPr>
        <w:tc>
          <w:tcPr>
            <w:tcW w:w="1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products</w:t>
            </w: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Pr>
          <w:p>
            <w:pPr>
              <w:ind w:left="20"/>
              <w:spacing w:after="0"/>
              <w:rPr>
                <w:sz w:val="20"/>
                <w:szCs w:val="20"/>
                <w:color w:val="auto"/>
              </w:rPr>
            </w:pPr>
            <w:r>
              <w:rPr>
                <w:rFonts w:ascii="Arial" w:cs="Arial" w:eastAsia="Arial" w:hAnsi="Arial"/>
                <w:sz w:val="14"/>
                <w:szCs w:val="14"/>
                <w:color w:val="auto"/>
              </w:rPr>
              <w:t>Other clients</w:t>
            </w:r>
            <w:r>
              <w:rPr>
                <w:rFonts w:ascii="Arial" w:cs="Arial" w:eastAsia="Arial" w:hAnsi="Arial"/>
                <w:sz w:val="18"/>
                <w:szCs w:val="18"/>
                <w:color w:val="auto"/>
                <w:vertAlign w:val="superscript"/>
              </w:rPr>
              <w:t>(1)</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ind w:right="6"/>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234"/>
        </w:trPr>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1,662.1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1,687.8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109.9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1,826.8</w:t>
            </w: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 w:lineRule="exact"/>
        <w:rPr>
          <w:sz w:val="20"/>
          <w:szCs w:val="20"/>
          <w:color w:val="auto"/>
        </w:rPr>
      </w:pPr>
    </w:p>
    <w:p>
      <w:pPr>
        <w:ind w:left="180" w:hanging="172"/>
        <w:spacing w:after="0"/>
        <w:tabs>
          <w:tab w:leader="none" w:pos="180" w:val="left"/>
        </w:tabs>
        <w:numPr>
          <w:ilvl w:val="0"/>
          <w:numId w:val="3"/>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Other clients primarily include individuals, defined contribution plans, college savings plans, and institutions related to our non-discretionary advisory services.</w:t>
      </w:r>
    </w:p>
    <w:p>
      <w:pPr>
        <w:spacing w:after="0" w:line="23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Total net revenues earned from our related parties aggregate $1,536.4 million and $ 1,482.3 million for the three months ended March 31, 2022 and 2021, respectively. Accounts receivable from these products aggregate to $584.5 million at March 31, 2022 and $577.9 million at December 31,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investment advisory revenues earned from clients by their underlying asset class.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9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2160" w:type="dxa"/>
            <w:vAlign w:val="bottom"/>
            <w:tcBorders>
              <w:bottom w:val="single" w:sz="8" w:color="auto"/>
            </w:tcBorders>
            <w:gridSpan w:val="4"/>
            <w:shd w:val="clear" w:color="auto" w:fill="CCEEFF"/>
          </w:tcPr>
          <w:p>
            <w:pPr>
              <w:jc w:val="right"/>
              <w:ind w:right="372"/>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3/31/2022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3/31/2021</w:t>
            </w:r>
          </w:p>
        </w:tc>
      </w:tr>
      <w:tr>
        <w:trPr>
          <w:trHeight w:val="210"/>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mutual funds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8900" w:type="dxa"/>
            <w:vAlign w:val="bottom"/>
          </w:tcPr>
          <w:p>
            <w:pPr>
              <w:ind w:left="220"/>
              <w:spacing w:after="0"/>
              <w:rPr>
                <w:sz w:val="20"/>
                <w:szCs w:val="20"/>
                <w:color w:val="auto"/>
              </w:rPr>
            </w:pPr>
            <w:r>
              <w:rPr>
                <w:rFonts w:ascii="Arial" w:cs="Arial" w:eastAsia="Arial" w:hAnsi="Arial"/>
                <w:sz w:val="18"/>
                <w:szCs w:val="18"/>
                <w:color w:val="auto"/>
              </w:rPr>
              <w:t>Equity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691.9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729.8</w:t>
            </w:r>
          </w:p>
        </w:tc>
      </w:tr>
      <w:tr>
        <w:trPr>
          <w:trHeight w:val="230"/>
        </w:trPr>
        <w:tc>
          <w:tcPr>
            <w:tcW w:w="8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income, including money market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r>
      <w:tr>
        <w:trPr>
          <w:trHeight w:val="230"/>
        </w:trPr>
        <w:tc>
          <w:tcPr>
            <w:tcW w:w="8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Multi-asset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261.4</w:t>
            </w:r>
          </w:p>
        </w:tc>
      </w:tr>
      <w:tr>
        <w:trPr>
          <w:trHeight w:val="223"/>
        </w:trPr>
        <w:tc>
          <w:tcPr>
            <w:tcW w:w="89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1,050.2</w:t>
            </w:r>
          </w:p>
        </w:tc>
      </w:tr>
      <w:tr>
        <w:trPr>
          <w:trHeight w:val="210"/>
        </w:trPr>
        <w:tc>
          <w:tcPr>
            <w:tcW w:w="8900" w:type="dxa"/>
            <w:vAlign w:val="bottom"/>
          </w:tcPr>
          <w:p>
            <w:pPr>
              <w:ind w:left="20"/>
              <w:spacing w:after="0"/>
              <w:rPr>
                <w:sz w:val="20"/>
                <w:szCs w:val="20"/>
                <w:color w:val="auto"/>
              </w:rPr>
            </w:pPr>
            <w:r>
              <w:rPr>
                <w:rFonts w:ascii="Arial" w:cs="Arial" w:eastAsia="Arial" w:hAnsi="Arial"/>
                <w:sz w:val="18"/>
                <w:szCs w:val="18"/>
                <w:color w:val="auto"/>
              </w:rPr>
              <w:t>Subadvised funds, separate accounts, collective investment trusts, and other investment products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8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w:t>
            </w:r>
          </w:p>
        </w:tc>
      </w:tr>
      <w:tr>
        <w:trPr>
          <w:trHeight w:val="230"/>
        </w:trPr>
        <w:tc>
          <w:tcPr>
            <w:tcW w:w="8900" w:type="dxa"/>
            <w:vAlign w:val="bottom"/>
          </w:tcPr>
          <w:p>
            <w:pPr>
              <w:ind w:left="220"/>
              <w:spacing w:after="0"/>
              <w:rPr>
                <w:sz w:val="20"/>
                <w:szCs w:val="20"/>
                <w:color w:val="auto"/>
              </w:rPr>
            </w:pPr>
            <w:r>
              <w:rPr>
                <w:rFonts w:ascii="Arial" w:cs="Arial" w:eastAsia="Arial" w:hAnsi="Arial"/>
                <w:sz w:val="18"/>
                <w:szCs w:val="18"/>
                <w:color w:val="auto"/>
              </w:rPr>
              <w:t>Fixed income, including money market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30"/>
        </w:trPr>
        <w:tc>
          <w:tcPr>
            <w:tcW w:w="8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Multi-asset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r>
      <w:tr>
        <w:trPr>
          <w:trHeight w:val="230"/>
        </w:trPr>
        <w:tc>
          <w:tcPr>
            <w:tcW w:w="8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Alternatives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9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637.6</w:t>
            </w:r>
          </w:p>
        </w:tc>
      </w:tr>
      <w:tr>
        <w:trPr>
          <w:trHeight w:val="223"/>
        </w:trPr>
        <w:tc>
          <w:tcPr>
            <w:tcW w:w="890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1,687.8</w:t>
            </w:r>
          </w:p>
        </w:tc>
      </w:tr>
      <w:tr>
        <w:trPr>
          <w:trHeight w:val="20"/>
        </w:trPr>
        <w:tc>
          <w:tcPr>
            <w:tcW w:w="8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The following table summarizes the assets under management on which we earn investment advisory revenues.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2280" w:type="dxa"/>
            <w:vAlign w:val="bottom"/>
            <w:tcBorders>
              <w:bottom w:val="single" w:sz="8" w:color="auto"/>
            </w:tcBorders>
            <w:gridSpan w:val="5"/>
            <w:shd w:val="clear" w:color="auto" w:fill="CCEEFF"/>
          </w:tcPr>
          <w:p>
            <w:pPr>
              <w:ind w:left="520"/>
              <w:spacing w:after="0"/>
              <w:rPr>
                <w:sz w:val="20"/>
                <w:szCs w:val="20"/>
                <w:color w:val="auto"/>
              </w:rPr>
            </w:pPr>
            <w:r>
              <w:rPr>
                <w:rFonts w:ascii="Arial" w:cs="Arial" w:eastAsia="Arial" w:hAnsi="Arial"/>
                <w:sz w:val="14"/>
                <w:szCs w:val="14"/>
                <w:b w:val="1"/>
                <w:bCs w:val="1"/>
                <w:color w:val="auto"/>
              </w:rPr>
              <w:t>Average during</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95"/>
        </w:trPr>
        <w:tc>
          <w:tcPr>
            <w:tcW w:w="6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960" w:type="dxa"/>
            <w:vAlign w:val="bottom"/>
          </w:tcPr>
          <w:p>
            <w:pPr>
              <w:spacing w:after="0"/>
              <w:rPr>
                <w:sz w:val="16"/>
                <w:szCs w:val="16"/>
                <w:color w:val="auto"/>
              </w:rPr>
            </w:pPr>
          </w:p>
        </w:tc>
      </w:tr>
      <w:tr>
        <w:trPr>
          <w:trHeight w:val="197"/>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 billions)</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14"/>
                <w:szCs w:val="14"/>
                <w:b w:val="1"/>
                <w:bCs w:val="1"/>
                <w:color w:val="auto"/>
              </w:rPr>
              <w:t>3/31/2022</w:t>
            </w: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b w:val="1"/>
                <w:bCs w:val="1"/>
                <w:color w:val="auto"/>
              </w:rPr>
              <w:t>3/31/2021</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14"/>
                <w:szCs w:val="14"/>
                <w:b w:val="1"/>
                <w:bCs w:val="1"/>
                <w:color w:val="auto"/>
              </w:rPr>
              <w:t>3/31/2022</w:t>
            </w: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b w:val="1"/>
                <w:bCs w:val="1"/>
                <w:color w:val="auto"/>
              </w:rPr>
              <w:t>12/31/2021</w:t>
            </w:r>
          </w:p>
        </w:tc>
      </w:tr>
      <w:tr>
        <w:trPr>
          <w:trHeight w:val="210"/>
        </w:trPr>
        <w:tc>
          <w:tcPr>
            <w:tcW w:w="6440" w:type="dxa"/>
            <w:vAlign w:val="bottom"/>
          </w:tcPr>
          <w:p>
            <w:pPr>
              <w:ind w:left="20"/>
              <w:spacing w:after="0"/>
              <w:rPr>
                <w:sz w:val="20"/>
                <w:szCs w:val="20"/>
                <w:color w:val="auto"/>
              </w:rPr>
            </w:pPr>
            <w:r>
              <w:rPr>
                <w:rFonts w:ascii="Arial" w:cs="Arial" w:eastAsia="Arial" w:hAnsi="Arial"/>
                <w:sz w:val="18"/>
                <w:szCs w:val="18"/>
                <w:color w:val="auto"/>
              </w:rPr>
              <w:t>U.S. mutual funds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w:t>
            </w:r>
          </w:p>
        </w:tc>
      </w:tr>
      <w:tr>
        <w:trPr>
          <w:trHeight w:val="229"/>
        </w:trPr>
        <w:tc>
          <w:tcPr>
            <w:tcW w:w="6440" w:type="dxa"/>
            <w:vAlign w:val="bottom"/>
          </w:tcPr>
          <w:p>
            <w:pPr>
              <w:ind w:left="220"/>
              <w:spacing w:after="0"/>
              <w:rPr>
                <w:sz w:val="20"/>
                <w:szCs w:val="20"/>
                <w:color w:val="auto"/>
              </w:rPr>
            </w:pPr>
            <w:r>
              <w:rPr>
                <w:rFonts w:ascii="Arial" w:cs="Arial" w:eastAsia="Arial" w:hAnsi="Arial"/>
                <w:sz w:val="18"/>
                <w:szCs w:val="18"/>
                <w:color w:val="auto"/>
              </w:rPr>
              <w:t>Fixed income, including money market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85.3</w:t>
            </w:r>
          </w:p>
        </w:tc>
      </w:tr>
      <w:tr>
        <w:trPr>
          <w:trHeight w:val="230"/>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Multi-asset</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w:t>
            </w:r>
          </w:p>
        </w:tc>
      </w:tr>
      <w:tr>
        <w:trPr>
          <w:trHeight w:val="223"/>
        </w:trPr>
        <w:tc>
          <w:tcPr>
            <w:tcW w:w="64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871.4</w:t>
            </w:r>
          </w:p>
        </w:tc>
      </w:tr>
      <w:tr>
        <w:trPr>
          <w:trHeight w:val="156"/>
        </w:trPr>
        <w:tc>
          <w:tcPr>
            <w:tcW w:w="64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Subadvised funds, separate accounts, collective investment trusts, and other</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24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products</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30"/>
        </w:trPr>
        <w:tc>
          <w:tcPr>
            <w:tcW w:w="6440" w:type="dxa"/>
            <w:vAlign w:val="bottom"/>
          </w:tcPr>
          <w:p>
            <w:pPr>
              <w:ind w:left="220"/>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438.8</w:t>
            </w:r>
          </w:p>
        </w:tc>
      </w:tr>
      <w:tr>
        <w:trPr>
          <w:trHeight w:val="229"/>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income, including money market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r>
      <w:tr>
        <w:trPr>
          <w:trHeight w:val="230"/>
        </w:trPr>
        <w:tc>
          <w:tcPr>
            <w:tcW w:w="6440" w:type="dxa"/>
            <w:vAlign w:val="bottom"/>
          </w:tcPr>
          <w:p>
            <w:pPr>
              <w:ind w:left="220"/>
              <w:spacing w:after="0"/>
              <w:rPr>
                <w:sz w:val="20"/>
                <w:szCs w:val="20"/>
                <w:color w:val="auto"/>
              </w:rPr>
            </w:pPr>
            <w:r>
              <w:rPr>
                <w:rFonts w:ascii="Arial" w:cs="Arial" w:eastAsia="Arial" w:hAnsi="Arial"/>
                <w:sz w:val="18"/>
                <w:szCs w:val="18"/>
                <w:color w:val="auto"/>
              </w:rPr>
              <w:t>Multi-asset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245.5</w:t>
            </w:r>
          </w:p>
        </w:tc>
      </w:tr>
      <w:tr>
        <w:trPr>
          <w:trHeight w:val="229"/>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Alternatives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r>
      <w:tr>
        <w:trPr>
          <w:trHeight w:val="223"/>
        </w:trPr>
        <w:tc>
          <w:tcPr>
            <w:tcW w:w="64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761.9</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694.3</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816.4</w:t>
            </w: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1,687.8</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Investors that we serve are primarily domiciled in the U.S.; investment advisory clients outside the U.S. account for 9.7% and 9.9% of our assets under management at March 31, 2022 and December 31, 2021,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our investments that are not part of the consolidated T. Rowe Price investment products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b w:val="1"/>
                <w:bCs w:val="1"/>
                <w:color w:val="auto"/>
              </w:rPr>
              <w:t>3/31/2022</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12/31/2021</w:t>
            </w:r>
          </w:p>
        </w:tc>
      </w:tr>
      <w:tr>
        <w:trPr>
          <w:trHeight w:val="209"/>
        </w:trPr>
        <w:tc>
          <w:tcPr>
            <w:tcW w:w="8240" w:type="dxa"/>
            <w:vAlign w:val="bottom"/>
          </w:tcPr>
          <w:p>
            <w:pPr>
              <w:ind w:left="20"/>
              <w:spacing w:after="0"/>
              <w:rPr>
                <w:sz w:val="20"/>
                <w:szCs w:val="20"/>
                <w:color w:val="auto"/>
              </w:rPr>
            </w:pPr>
            <w:r>
              <w:rPr>
                <w:rFonts w:ascii="Arial" w:cs="Arial" w:eastAsia="Arial" w:hAnsi="Arial"/>
                <w:sz w:val="18"/>
                <w:szCs w:val="18"/>
                <w:color w:val="auto"/>
              </w:rPr>
              <w:t>Investments held at fair value</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 Rowe Price investment products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Discretionary investments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502.2</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518.7</w:t>
            </w: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Seed capital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w:t>
            </w: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Supplemental savings plan liability economic hedges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881.5</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partnerships and other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Investments in affiliated collateralized loan obligations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240" w:type="dxa"/>
            <w:vAlign w:val="bottom"/>
          </w:tcPr>
          <w:p>
            <w:pPr>
              <w:ind w:left="100"/>
              <w:spacing w:after="0"/>
              <w:rPr>
                <w:sz w:val="20"/>
                <w:szCs w:val="20"/>
                <w:color w:val="auto"/>
              </w:rPr>
            </w:pPr>
            <w:r>
              <w:rPr>
                <w:rFonts w:ascii="Arial" w:cs="Arial" w:eastAsia="Arial" w:hAnsi="Arial"/>
                <w:sz w:val="18"/>
                <w:szCs w:val="18"/>
                <w:color w:val="auto"/>
              </w:rPr>
              <w:t>T. Rowe Price investment products - seed capital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141.7</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 in affiliated private investment funds - carried interest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609.8</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Investments in affiliated private investment funds - seed/co-investment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151.3</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23% Investment in UTI Asset Management Company Limited (India)</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Other investment partnerships and investments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Held to maturity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Investments in affiliated collateralized loan obligations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119.1</w:t>
            </w:r>
          </w:p>
        </w:tc>
      </w:tr>
      <w:tr>
        <w:trPr>
          <w:trHeight w:val="230"/>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Treasury note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2,975.5</w:t>
            </w: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investment partnerships are carried at fair value using net asset value (“NAV”) per share as a practical expedient. Our interests in these partnerships are generally not redeemable and are subject to significant transferability restrictions. The underlying investments of these partnerships have contractual terms through 2029, though we may receive distributions of liquidating assets over a longer term. The investment strategies of these partnerships include growth equity, buyout, venture capital, and real estate.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 w:name="page10"/>
    <w:bookmarkEnd w:id="9"/>
    <w:p>
      <w:pPr>
        <w:ind w:right="240"/>
        <w:spacing w:after="0" w:line="268" w:lineRule="auto"/>
        <w:rPr>
          <w:sz w:val="20"/>
          <w:szCs w:val="20"/>
          <w:color w:val="auto"/>
        </w:rPr>
      </w:pPr>
      <w:r>
        <w:rPr>
          <w:rFonts w:ascii="Arial" w:cs="Arial" w:eastAsia="Arial" w:hAnsi="Arial"/>
          <w:sz w:val="18"/>
          <w:szCs w:val="18"/>
          <w:color w:val="auto"/>
        </w:rPr>
        <w:t>During the three months ended March 31, 2022, net losses on investments included $99.9 million of net unrealized losses related to investments held at fair value that were still held at March 31, 2022. For the same period of 2021, net gains on investments included $38.8 million of net unrealized gains related to investments held at fair value that were still held at March 31, 2021.</w:t>
      </w:r>
    </w:p>
    <w:p>
      <w:pPr>
        <w:spacing w:after="0" w:line="19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three months ended March 31, 2022 and 2021, certain T. Rowe Price investment products in which we provided initial seed capital at the time of formation were deconsolidated, as we no longer had a controlling interest. Depending on our ownership interest, we are now reporting our residual interests in these T. Rowe Price investment products as either an equity method investment or an investment held at fair value. Additionally, during the three months ended March 31, 2022 and March 31, 2021, certain T. Rowe Price investment products were consolidated, as we regained a controlling interest. The net impact of these changes on our unaudited condensed consolidated balance sheets and statements of income as of the dates the portfolios were deconsolidated or reconsolidated is detailed below.</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40" w:type="dxa"/>
            <w:vAlign w:val="bottom"/>
            <w:gridSpan w:val="5"/>
            <w:shd w:val="clear" w:color="auto" w:fill="CCEEFF"/>
          </w:tcPr>
          <w:p>
            <w:pPr>
              <w:ind w:left="520"/>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3/31/2022</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3/31/2021</w:t>
            </w:r>
          </w:p>
        </w:tc>
        <w:tc>
          <w:tcPr>
            <w:tcW w:w="100" w:type="dxa"/>
            <w:vAlign w:val="bottom"/>
            <w:tcBorders>
              <w:bottom w:val="single" w:sz="8" w:color="CCEEFF"/>
            </w:tcBorders>
          </w:tcPr>
          <w:p>
            <w:pPr>
              <w:spacing w:after="0"/>
              <w:rPr>
                <w:sz w:val="16"/>
                <w:szCs w:val="16"/>
                <w:color w:val="auto"/>
              </w:rPr>
            </w:pPr>
          </w:p>
        </w:tc>
      </w:tr>
      <w:tr>
        <w:trPr>
          <w:trHeight w:val="224"/>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assets of consolidated T. Rowe Price investment products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(928.1)</w:t>
            </w:r>
          </w:p>
        </w:tc>
        <w:tc>
          <w:tcPr>
            <w:tcW w:w="100" w:type="dxa"/>
            <w:vAlign w:val="bottom"/>
            <w:shd w:val="clear" w:color="auto" w:fill="CCEEFF"/>
          </w:tcPr>
          <w:p>
            <w:pPr>
              <w:spacing w:after="0"/>
              <w:rPr>
                <w:sz w:val="19"/>
                <w:szCs w:val="19"/>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Net increase (decrease) in liabilities of consolidated T. Rowe Price investment products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redeemable non-controlling interests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(739.9)</w:t>
            </w:r>
          </w:p>
        </w:tc>
        <w:tc>
          <w:tcPr>
            <w:tcW w:w="100" w:type="dxa"/>
            <w:vAlign w:val="bottom"/>
            <w:shd w:val="clear" w:color="auto" w:fill="CCEEFF"/>
          </w:tcPr>
          <w:p>
            <w:pPr>
              <w:spacing w:after="0"/>
              <w:rPr>
                <w:sz w:val="19"/>
                <w:szCs w:val="19"/>
                <w:color w:val="auto"/>
              </w:rPr>
            </w:pPr>
          </w:p>
        </w:tc>
      </w:tr>
      <w:tr>
        <w:trPr>
          <w:trHeight w:val="216"/>
        </w:trPr>
        <w:tc>
          <w:tcPr>
            <w:tcW w:w="8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 recognized upon deconsolidation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r>
    </w:tbl>
    <w:p>
      <w:pPr>
        <w:spacing w:after="0" w:line="305" w:lineRule="exact"/>
        <w:rPr>
          <w:sz w:val="20"/>
          <w:szCs w:val="20"/>
          <w:color w:val="auto"/>
        </w:rPr>
      </w:pPr>
    </w:p>
    <w:p>
      <w:pPr>
        <w:ind w:right="40"/>
        <w:spacing w:after="0" w:line="318" w:lineRule="auto"/>
        <w:rPr>
          <w:sz w:val="20"/>
          <w:szCs w:val="20"/>
          <w:color w:val="auto"/>
        </w:rPr>
      </w:pPr>
      <w:r>
        <w:rPr>
          <w:rFonts w:ascii="Arial" w:cs="Arial" w:eastAsia="Arial" w:hAnsi="Arial"/>
          <w:sz w:val="17"/>
          <w:szCs w:val="17"/>
          <w:color w:val="auto"/>
        </w:rPr>
        <w:t>The gains recognized upon deconsolidation were the result of reclassifying currency translation adjustments accumulated on certain T. Rowe Price investment products with non-USD functional currencies from accumulated other comprehensive income to non-operating income.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 IN AFFILIATED COLLATERALIZED LOAN OBLIGATIONS.</w:t>
      </w:r>
    </w:p>
    <w:p>
      <w:pPr>
        <w:spacing w:after="0" w:line="25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There is debt associated with our long-term investments in affiliated collateralized loan obligations (“CLOs”). As of March 31, 2022 and December 31, 2021, the debt is valued at $108.7 million and $113.5 million, and is reported in accounts payable and accrued expenses in our unaudited condensed consolidated balance sheets. The debt includes outstanding repurchase agreements of €66.7 million (equivalent to $73.8 million at March 31, 2022 and $75.9 million at December 31, 2021 at the respective EUR spot rates) and collateralized by the CLO investments. The debt also includes outstanding note facilities of €32.4 million (equivalent to $34.9 million at March 31, 2022 and</w:t>
      </w:r>
    </w:p>
    <w:p>
      <w:pPr>
        <w:spacing w:after="0" w:line="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$36.9 million at December 31, 2021 at the respective EUR spot rates) and are collateralized by first priority security interests in the assets of the consolidated OHA entity that is party to the notes. The debt bears interest at rates based on EURIBOR plus the initial margin, which equals all-in rates ranging from 1.70% to 1.95% as of March 31, 2022. The debt matures on various dates through 2032 or if the investments are paid back in full or cancelled.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VARIABLE INTEREST ENTITIES.</w:t>
      </w:r>
    </w:p>
    <w:p>
      <w:pPr>
        <w:spacing w:after="0" w:line="25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Our investments at March 31, 2022 and December 31, 2021 include interests in variable interest entities that we do not consolidate as we are not deemed the primary beneficiary. Our maximum risk of loss related to our involvement with these entities is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3/31/2022</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4"/>
                <w:szCs w:val="14"/>
                <w:b w:val="1"/>
                <w:bCs w:val="1"/>
                <w:color w:val="auto"/>
              </w:rPr>
              <w:t>12/31/2021</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Investment carrying values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951.9</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943.3</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Unfunded capital commitments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w:t>
            </w:r>
          </w:p>
        </w:tc>
      </w:tr>
      <w:tr>
        <w:trPr>
          <w:trHeight w:val="248"/>
        </w:trPr>
        <w:tc>
          <w:tcPr>
            <w:tcW w:w="8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The unfunded capital commitments totaling $110.4 million at March 31, 2022 and $94.2 million at December 31, 2021 relate primarily to the affiliated private investment funds and the investment partnerships in which we have an existing investment. In addition to such amounts, a percentage of prior distributions may be called under certain circumstances.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INVESTMENTS IN AFFILIATED PARTNERS.</w:t>
      </w:r>
    </w:p>
    <w:p>
      <w:pPr>
        <w:spacing w:after="0" w:line="2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During 2021, as part of the OHA acquisition, we acquired a majority of the equity interests in entities that have interests in general partners of affiliated private investment funds and are entitled to a disproportionate allocation of income. These entities are considered variable interest entities and are consolidated as T. Rowe Price was determined to be the primary beneficiary.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total assets, liabilities and non-controlling interests of these consolidated variable interest entities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 millions)</w:t>
            </w:r>
          </w:p>
        </w:tc>
        <w:tc>
          <w:tcPr>
            <w:tcW w:w="15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b w:val="1"/>
                <w:bCs w:val="1"/>
                <w:color w:val="auto"/>
              </w:rPr>
              <w:t>3/31/2022</w:t>
            </w:r>
          </w:p>
        </w:tc>
        <w:tc>
          <w:tcPr>
            <w:tcW w:w="6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ind w:right="675"/>
              <w:spacing w:after="0"/>
              <w:rPr>
                <w:sz w:val="20"/>
                <w:szCs w:val="20"/>
                <w:color w:val="auto"/>
              </w:rPr>
            </w:pPr>
            <w:r>
              <w:rPr>
                <w:rFonts w:ascii="Arial" w:cs="Arial" w:eastAsia="Arial" w:hAnsi="Arial"/>
                <w:sz w:val="14"/>
                <w:szCs w:val="14"/>
                <w:b w:val="1"/>
                <w:bCs w:val="1"/>
                <w:color w:val="auto"/>
              </w:rPr>
              <w:t>12/31/2021</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Assets</w:t>
            </w:r>
          </w:p>
        </w:tc>
        <w:tc>
          <w:tcPr>
            <w:tcW w:w="1580" w:type="dxa"/>
            <w:vAlign w:val="bottom"/>
            <w:tcBorders>
              <w:bottom w:val="single" w:sz="8" w:color="auto"/>
            </w:tcBorders>
          </w:tcPr>
          <w:p>
            <w:pPr>
              <w:jc w:val="right"/>
              <w:ind w:right="1375"/>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695.4</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692.7</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580" w:type="dxa"/>
            <w:vAlign w:val="bottom"/>
            <w:tcBorders>
              <w:bottom w:val="single" w:sz="8" w:color="auto"/>
            </w:tcBorders>
            <w:shd w:val="clear" w:color="auto" w:fill="CCEEFF"/>
          </w:tcPr>
          <w:p>
            <w:pPr>
              <w:jc w:val="right"/>
              <w:ind w:right="1375"/>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640" w:type="dxa"/>
            <w:vAlign w:val="bottom"/>
          </w:tcPr>
          <w:p>
            <w:pPr>
              <w:ind w:left="20"/>
              <w:spacing w:after="0" w:line="203" w:lineRule="exact"/>
              <w:rPr>
                <w:sz w:val="20"/>
                <w:szCs w:val="20"/>
                <w:color w:val="auto"/>
              </w:rPr>
            </w:pPr>
            <w:r>
              <w:rPr>
                <w:rFonts w:ascii="Arial" w:cs="Arial" w:eastAsia="Arial" w:hAnsi="Arial"/>
                <w:sz w:val="18"/>
                <w:szCs w:val="18"/>
                <w:color w:val="auto"/>
              </w:rPr>
              <w:t>Non-controlling interest</w:t>
            </w:r>
          </w:p>
        </w:tc>
        <w:tc>
          <w:tcPr>
            <w:tcW w:w="1580" w:type="dxa"/>
            <w:vAlign w:val="bottom"/>
            <w:tcBorders>
              <w:bottom w:val="single" w:sz="8" w:color="auto"/>
            </w:tcBorders>
          </w:tcPr>
          <w:p>
            <w:pPr>
              <w:jc w:val="right"/>
              <w:ind w:right="1375"/>
              <w:spacing w:after="0" w:line="203" w:lineRule="exact"/>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272.2</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248.7</w:t>
            </w:r>
          </w:p>
        </w:tc>
      </w:tr>
      <w:tr>
        <w:trPr>
          <w:trHeight w:val="21"/>
        </w:trPr>
        <w:tc>
          <w:tcPr>
            <w:tcW w:w="66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determine the fair value of our cash equivalents and investments held at fair value using the following broad levels of inputs as defined by related accounting standards: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27" w:lineRule="exact"/>
        <w:rPr>
          <w:sz w:val="20"/>
          <w:szCs w:val="20"/>
          <w:color w:val="auto"/>
        </w:rPr>
      </w:pPr>
    </w:p>
    <w:p>
      <w:pPr>
        <w:ind w:left="260" w:right="2240" w:hanging="249"/>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ind w:left="740" w:right="200" w:hanging="728"/>
        <w:spacing w:after="0" w:line="258"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The inputs into the determination of fair value require significant management judgment or estimation. Investments in this category generally include investments for which there is not an actively-traded market.</w:t>
      </w:r>
    </w:p>
    <w:p>
      <w:pPr>
        <w:spacing w:after="0" w:line="205"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 following table summarizes our investments and liability that are recognized in our unaudited condensed consolidated balance sheets using fair value measurements determined based on the differing levels of inputs. This table excludes investments held by the consolidated T. Rowe Price investment products which are presented separately on our unaudited condensed consolidated balance sheets and are detailed in Note 5.</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4"/>
                <w:szCs w:val="14"/>
                <w:b w:val="1"/>
                <w:bCs w:val="1"/>
                <w:color w:val="auto"/>
              </w:rPr>
              <w:t>3/31/2022</w:t>
            </w:r>
          </w:p>
        </w:tc>
        <w:tc>
          <w:tcPr>
            <w:tcW w:w="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4"/>
                <w:szCs w:val="14"/>
                <w:b w:val="1"/>
                <w:bCs w:val="1"/>
                <w:color w:val="auto"/>
                <w:w w:val="99"/>
              </w:rPr>
              <w:t>12/31/2021</w:t>
            </w: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r>
      <w:tr>
        <w:trPr>
          <w:trHeight w:val="195"/>
        </w:trPr>
        <w:tc>
          <w:tcPr>
            <w:tcW w:w="48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6"/>
                <w:szCs w:val="16"/>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6"/>
                <w:szCs w:val="16"/>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6"/>
                <w:szCs w:val="16"/>
                <w:color w:val="auto"/>
              </w:rPr>
            </w:pPr>
          </w:p>
        </w:tc>
        <w:tc>
          <w:tcPr>
            <w:tcW w:w="800" w:type="dxa"/>
            <w:vAlign w:val="bottom"/>
          </w:tcPr>
          <w:p>
            <w:pPr>
              <w:jc w:val="right"/>
              <w:ind w:right="152"/>
              <w:spacing w:after="0"/>
              <w:rPr>
                <w:sz w:val="20"/>
                <w:szCs w:val="20"/>
                <w:color w:val="auto"/>
              </w:rPr>
            </w:pPr>
            <w:r>
              <w:rPr>
                <w:rFonts w:ascii="Arial" w:cs="Arial" w:eastAsia="Arial" w:hAnsi="Arial"/>
                <w:sz w:val="14"/>
                <w:szCs w:val="14"/>
                <w:b w:val="1"/>
                <w:bCs w:val="1"/>
                <w:color w:val="auto"/>
              </w:rPr>
              <w:t>Level 3</w:t>
            </w:r>
          </w:p>
        </w:tc>
      </w:tr>
      <w:tr>
        <w:trPr>
          <w:trHeight w:val="210"/>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 Rowe Price investment products</w:t>
            </w: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30"/>
        </w:trPr>
        <w:tc>
          <w:tcPr>
            <w:tcW w:w="4820" w:type="dxa"/>
            <w:vAlign w:val="bottom"/>
          </w:tcPr>
          <w:p>
            <w:pPr>
              <w:ind w:left="180"/>
              <w:spacing w:after="0"/>
              <w:rPr>
                <w:sz w:val="20"/>
                <w:szCs w:val="20"/>
                <w:color w:val="auto"/>
              </w:rPr>
            </w:pPr>
            <w:r>
              <w:rPr>
                <w:rFonts w:ascii="Arial" w:cs="Arial" w:eastAsia="Arial" w:hAnsi="Arial"/>
                <w:sz w:val="18"/>
                <w:szCs w:val="18"/>
                <w:color w:val="auto"/>
              </w:rPr>
              <w:t>Cash equivalents held in money market funds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1,551.1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1,183.9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Discretionary investments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820" w:type="dxa"/>
            <w:vAlign w:val="bottom"/>
          </w:tcPr>
          <w:p>
            <w:pPr>
              <w:ind w:left="180"/>
              <w:spacing w:after="0"/>
              <w:rPr>
                <w:sz w:val="20"/>
                <w:szCs w:val="20"/>
                <w:color w:val="auto"/>
              </w:rPr>
            </w:pPr>
            <w:r>
              <w:rPr>
                <w:rFonts w:ascii="Arial" w:cs="Arial" w:eastAsia="Arial" w:hAnsi="Arial"/>
                <w:sz w:val="18"/>
                <w:szCs w:val="18"/>
                <w:color w:val="auto"/>
              </w:rPr>
              <w:t>Seed capital</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Supplemental savings plan liability economic hedges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Other investments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affiliated collateralized loan obligations</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3,077.5</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2,826.2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46"/>
        </w:trPr>
        <w:tc>
          <w:tcPr>
            <w:tcW w:w="48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29"/>
        </w:trPr>
        <w:tc>
          <w:tcPr>
            <w:tcW w:w="482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Contingent consideration liability</w:t>
            </w: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211.5</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306.3</w:t>
            </w:r>
          </w:p>
        </w:tc>
      </w:tr>
      <w:tr>
        <w:trPr>
          <w:trHeight w:val="21"/>
        </w:trPr>
        <w:tc>
          <w:tcPr>
            <w:tcW w:w="4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fair value hierarchy level table above does not include the investment partnerships and other investments for which fair value is estimated using their NAV per share as a practical expedient. The carrying value of these investments as disclosed in Note 3 were $103.6 million at March 31, 2022, and $108.1 million at December 31, 2021.</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1" w:name="page12"/>
    <w:bookmarkEnd w:id="11"/>
    <w:p>
      <w:pPr>
        <w:ind w:right="120"/>
        <w:spacing w:after="0" w:line="255" w:lineRule="auto"/>
        <w:rPr>
          <w:sz w:val="20"/>
          <w:szCs w:val="20"/>
          <w:color w:val="auto"/>
        </w:rPr>
      </w:pPr>
      <w:r>
        <w:rPr>
          <w:rFonts w:ascii="Arial" w:cs="Arial" w:eastAsia="Arial" w:hAnsi="Arial"/>
          <w:sz w:val="18"/>
          <w:szCs w:val="18"/>
          <w:color w:val="auto"/>
        </w:rPr>
        <w:t>As part of the purchase consideration for our acquisition of OHA in December 2021, there was contingent consideration in the amount of up to $900.0 million, payable in cash, that may be due as part of an earnout payment starting in 2025 and ending in 2027 upon satisfying or exceeding certain defined revenue targets. These defined revenue targets will be evaluated on a cumulative basis beginning at the end of 2024, with the ability to extend two additional years if the defined revenue targets are not achieved. About 22% of the earnout is conditioned upon continued service with T. Rowe Price and was excluded from the purchase consideration and deemed compensatory. The fair value of the earnout is remeasured each reporting period and recognized over the related service period. For the three months ended March 31, 2022, $5.1 million was recorded as part of compensation expense in our unaudited condensed consolidated statements of income for the portion of the earnout deemed compensatory.</w:t>
      </w:r>
    </w:p>
    <w:p>
      <w:pPr>
        <w:spacing w:after="0" w:line="212"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The change in the contingent consideration liability measured at fair value for which we used Level 3 inputs to determine fair value 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4760" w:type="dxa"/>
            <w:vAlign w:val="bottom"/>
            <w:tcBorders>
              <w:bottom w:val="single" w:sz="8" w:color="auto"/>
            </w:tcBorders>
            <w:shd w:val="clear" w:color="auto" w:fill="CCEEFF"/>
          </w:tcPr>
          <w:p>
            <w:pPr>
              <w:jc w:val="right"/>
              <w:ind w:right="1556"/>
              <w:spacing w:after="0"/>
              <w:rPr>
                <w:sz w:val="20"/>
                <w:szCs w:val="20"/>
                <w:color w:val="auto"/>
              </w:rPr>
            </w:pPr>
            <w:r>
              <w:rPr>
                <w:rFonts w:ascii="Arial" w:cs="Arial" w:eastAsia="Arial" w:hAnsi="Arial"/>
                <w:sz w:val="14"/>
                <w:szCs w:val="14"/>
                <w:b w:val="1"/>
                <w:bCs w:val="1"/>
                <w:color w:val="auto"/>
              </w:rPr>
              <w:t>Contingent Consideration Liability</w:t>
            </w:r>
          </w:p>
        </w:tc>
      </w:tr>
      <w:tr>
        <w:trPr>
          <w:trHeight w:val="195"/>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spacing w:after="0"/>
              <w:rPr>
                <w:sz w:val="16"/>
                <w:szCs w:val="16"/>
                <w:color w:val="auto"/>
              </w:rPr>
            </w:pPr>
          </w:p>
        </w:tc>
        <w:tc>
          <w:tcPr>
            <w:tcW w:w="4760" w:type="dxa"/>
            <w:vAlign w:val="bottom"/>
            <w:tcBorders>
              <w:bottom w:val="single" w:sz="8" w:color="auto"/>
            </w:tcBorders>
          </w:tcPr>
          <w:p>
            <w:pPr>
              <w:jc w:val="right"/>
              <w:ind w:right="1676"/>
              <w:spacing w:after="0"/>
              <w:rPr>
                <w:sz w:val="20"/>
                <w:szCs w:val="20"/>
                <w:color w:val="auto"/>
              </w:rPr>
            </w:pPr>
            <w:r>
              <w:rPr>
                <w:rFonts w:ascii="Arial" w:cs="Arial" w:eastAsia="Arial" w:hAnsi="Arial"/>
                <w:sz w:val="14"/>
                <w:szCs w:val="14"/>
                <w:b w:val="1"/>
                <w:bCs w:val="1"/>
                <w:color w:val="auto"/>
              </w:rPr>
              <w:t>Three Months Ended 3/31/2022</w:t>
            </w:r>
          </w:p>
        </w:tc>
      </w:tr>
      <w:tr>
        <w:trPr>
          <w:trHeight w:val="224"/>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12/31/2021</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w:t>
            </w:r>
          </w:p>
        </w:tc>
      </w:tr>
      <w:tr>
        <w:trPr>
          <w:trHeight w:val="229"/>
        </w:trPr>
        <w:tc>
          <w:tcPr>
            <w:tcW w:w="5620" w:type="dxa"/>
            <w:vAlign w:val="bottom"/>
          </w:tcPr>
          <w:p>
            <w:pPr>
              <w:ind w:left="120"/>
              <w:spacing w:after="0"/>
              <w:rPr>
                <w:sz w:val="20"/>
                <w:szCs w:val="20"/>
                <w:color w:val="auto"/>
              </w:rPr>
            </w:pPr>
            <w:r>
              <w:rPr>
                <w:rFonts w:ascii="Arial" w:cs="Arial" w:eastAsia="Arial" w:hAnsi="Arial"/>
                <w:sz w:val="18"/>
                <w:szCs w:val="18"/>
                <w:color w:val="auto"/>
              </w:rPr>
              <w:t>Measurement period adjustment</w:t>
            </w:r>
          </w:p>
        </w:tc>
        <w:tc>
          <w:tcPr>
            <w:tcW w:w="860" w:type="dxa"/>
            <w:vAlign w:val="bottom"/>
          </w:tcPr>
          <w:p>
            <w:pPr>
              <w:spacing w:after="0"/>
              <w:rPr>
                <w:sz w:val="19"/>
                <w:szCs w:val="19"/>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(49.3)</w:t>
            </w:r>
          </w:p>
        </w:tc>
      </w:tr>
      <w:tr>
        <w:trPr>
          <w:trHeight w:val="230"/>
        </w:trPr>
        <w:tc>
          <w:tcPr>
            <w:tcW w:w="5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(gains) losses, included in earnings</w:t>
            </w:r>
          </w:p>
        </w:tc>
        <w:tc>
          <w:tcPr>
            <w:tcW w:w="860" w:type="dxa"/>
            <w:vAlign w:val="bottom"/>
            <w:tcBorders>
              <w:bottom w:val="single" w:sz="8" w:color="auto"/>
            </w:tcBorders>
            <w:shd w:val="clear" w:color="auto" w:fill="CCEEFF"/>
          </w:tcPr>
          <w:p>
            <w:pPr>
              <w:spacing w:after="0"/>
              <w:rPr>
                <w:sz w:val="19"/>
                <w:szCs w:val="19"/>
                <w:color w:val="auto"/>
              </w:rPr>
            </w:pPr>
          </w:p>
        </w:tc>
        <w:tc>
          <w:tcPr>
            <w:tcW w:w="4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Balance, 3/31/2022</w:t>
            </w: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4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w:t>
            </w:r>
          </w:p>
        </w:tc>
      </w:tr>
      <w:tr>
        <w:trPr>
          <w:trHeight w:val="21"/>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7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fair value of the contingent consideration is measured using the Monte Carlo simulation methodology of valuation. The most significant assumptions used relate to the discount periods and rates and from changes pertaining to the achievement of the defined financial targets. The unrealized (gains) losses during the quarter are reflected in general, administrative and other expenses in our unaudited condensed consolidated statements of income.</w:t>
      </w:r>
    </w:p>
    <w:p>
      <w:pPr>
        <w:spacing w:after="0" w:line="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addition, simultaneously with the OHA acquisition, a Value Creation Agreement was entered into whereby certain employees of OHA will receive incentive payments in the aggregate equal to 10% of the appreciated value of the OHA business, subject to an annualized preferred return to T. Rowe Price, on the fifth anniversary of the acquisition date. This arrangement is treated as a post-combination compensation expense. This arrangement will be remeasured at fair value at each reporting date and recognized over the related service period. As of March 31, 2022, $2.0 million was recognized as part of compensation expense in our unaudited condensed consolidated statements of income.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CONSOLIDATED T. ROWE PRICE INVESTMENT PRODUCTS AND OTHER ENTITIES.</w:t>
      </w:r>
    </w:p>
    <w:p>
      <w:pPr>
        <w:spacing w:after="0" w:line="252"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T. Rowe Price investment products that we consolidate in our unaudited condensed consolidated financial statements are generally those products we provided initial seed capital at the time of their formation and have a controlling interest. Our U.S. mutual funds are considered voting interest entities, while those regulated outside the U.S. are considered variable interest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following table details the net assets of the consolidated T. Rowe Price investment products: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center"/>
              <w:ind w:right="76"/>
              <w:spacing w:after="0"/>
              <w:rPr>
                <w:sz w:val="20"/>
                <w:szCs w:val="20"/>
                <w:color w:val="auto"/>
              </w:rPr>
            </w:pPr>
            <w:r>
              <w:rPr>
                <w:rFonts w:ascii="Arial" w:cs="Arial" w:eastAsia="Arial" w:hAnsi="Arial"/>
                <w:sz w:val="14"/>
                <w:szCs w:val="14"/>
                <w:b w:val="1"/>
                <w:bCs w:val="1"/>
                <w:color w:val="auto"/>
              </w:rPr>
              <w:t>3/31/2022</w:t>
            </w:r>
          </w:p>
        </w:tc>
        <w:tc>
          <w:tcPr>
            <w:tcW w:w="1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center"/>
              <w:ind w:right="76"/>
              <w:spacing w:after="0"/>
              <w:rPr>
                <w:sz w:val="20"/>
                <w:szCs w:val="20"/>
                <w:color w:val="auto"/>
              </w:rPr>
            </w:pPr>
            <w:r>
              <w:rPr>
                <w:rFonts w:ascii="Arial" w:cs="Arial" w:eastAsia="Arial" w:hAnsi="Arial"/>
                <w:sz w:val="14"/>
                <w:szCs w:val="14"/>
                <w:b w:val="1"/>
                <w:bCs w:val="1"/>
                <w:color w:val="auto"/>
              </w:rPr>
              <w:t>12/31/2021</w:t>
            </w: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Voting</w:t>
            </w:r>
          </w:p>
        </w:tc>
        <w:tc>
          <w:tcPr>
            <w:tcW w:w="180" w:type="dxa"/>
            <w:vAlign w:val="bottom"/>
          </w:tcPr>
          <w:p>
            <w:pPr>
              <w:spacing w:after="0"/>
              <w:rPr>
                <w:sz w:val="12"/>
                <w:szCs w:val="12"/>
                <w:color w:val="auto"/>
              </w:rPr>
            </w:pPr>
          </w:p>
        </w:tc>
        <w:tc>
          <w:tcPr>
            <w:tcW w:w="98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Variable</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Voting</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Variable</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2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2"/>
                <w:szCs w:val="12"/>
                <w:color w:val="auto"/>
              </w:rPr>
            </w:pPr>
          </w:p>
        </w:tc>
        <w:tc>
          <w:tcPr>
            <w:tcW w:w="96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interest</w:t>
            </w:r>
          </w:p>
        </w:tc>
        <w:tc>
          <w:tcPr>
            <w:tcW w:w="180" w:type="dxa"/>
            <w:vAlign w:val="bottom"/>
          </w:tcPr>
          <w:p>
            <w:pPr>
              <w:spacing w:after="0"/>
              <w:rPr>
                <w:sz w:val="12"/>
                <w:szCs w:val="12"/>
                <w:color w:val="auto"/>
              </w:rPr>
            </w:pPr>
          </w:p>
        </w:tc>
        <w:tc>
          <w:tcPr>
            <w:tcW w:w="98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rPr>
              <w:t>interest</w:t>
            </w:r>
          </w:p>
        </w:tc>
        <w:tc>
          <w:tcPr>
            <w:tcW w:w="260" w:type="dxa"/>
            <w:vAlign w:val="bottom"/>
          </w:tcPr>
          <w:p>
            <w:pPr>
              <w:spacing w:after="0"/>
              <w:rPr>
                <w:sz w:val="12"/>
                <w:szCs w:val="12"/>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96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rPr>
              <w:t>interest</w:t>
            </w:r>
          </w:p>
        </w:tc>
        <w:tc>
          <w:tcPr>
            <w:tcW w:w="240" w:type="dxa"/>
            <w:vAlign w:val="bottom"/>
          </w:tcPr>
          <w:p>
            <w:pPr>
              <w:spacing w:after="0"/>
              <w:rPr>
                <w:sz w:val="12"/>
                <w:szCs w:val="12"/>
                <w:color w:val="auto"/>
              </w:rPr>
            </w:pPr>
          </w:p>
        </w:tc>
        <w:tc>
          <w:tcPr>
            <w:tcW w:w="8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42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entities</w:t>
            </w:r>
          </w:p>
        </w:tc>
        <w:tc>
          <w:tcPr>
            <w:tcW w:w="18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2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28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3"/>
                <w:szCs w:val="23"/>
                <w:color w:val="auto"/>
                <w:vertAlign w:val="superscript"/>
              </w:rPr>
              <w:t>(1)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line="230" w:lineRule="exact"/>
              <w:rPr>
                <w:sz w:val="20"/>
                <w:szCs w:val="20"/>
                <w:color w:val="auto"/>
              </w:rPr>
            </w:pPr>
            <w:r>
              <w:rPr>
                <w:rFonts w:ascii="Arial" w:cs="Arial" w:eastAsia="Arial" w:hAnsi="Arial"/>
                <w:sz w:val="18"/>
                <w:szCs w:val="18"/>
                <w:color w:val="auto"/>
              </w:rPr>
              <w:t>Investments</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1,833.9</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1,658.2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1,761.5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1,962.8</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Net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1,911.3</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Attributable to T. Rowe Price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712.3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811.9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803.7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929.0</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Attributable to redeemable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982.3</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1,911.3</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140" w:hanging="132"/>
        <w:spacing w:after="0"/>
        <w:tabs>
          <w:tab w:leader="none" w:pos="140" w:val="left"/>
        </w:tabs>
        <w:numPr>
          <w:ilvl w:val="0"/>
          <w:numId w:val="4"/>
        </w:numPr>
        <w:rPr>
          <w:rFonts w:ascii="Arial" w:cs="Arial" w:eastAsia="Arial" w:hAnsi="Arial"/>
          <w:sz w:val="9"/>
          <w:szCs w:val="9"/>
          <w:i w:val="1"/>
          <w:iCs w:val="1"/>
          <w:color w:val="auto"/>
        </w:rPr>
      </w:pPr>
      <w:r>
        <w:rPr>
          <w:rFonts w:ascii="Arial" w:cs="Arial" w:eastAsia="Arial" w:hAnsi="Arial"/>
          <w:sz w:val="14"/>
          <w:szCs w:val="14"/>
          <w:i w:val="1"/>
          <w:iCs w:val="1"/>
          <w:color w:val="auto"/>
        </w:rPr>
        <w:t>Cash and cash equivalents includes $6.6 million at March 31, 2022, and $6.5 million at December 31, 2021, of T. Rowe Price money market mutual funds.</w:t>
      </w:r>
    </w:p>
    <w:p>
      <w:pPr>
        <w:spacing w:after="0" w:line="26" w:lineRule="exact"/>
        <w:rPr>
          <w:rFonts w:ascii="Arial" w:cs="Arial" w:eastAsia="Arial" w:hAnsi="Arial"/>
          <w:sz w:val="9"/>
          <w:szCs w:val="9"/>
          <w:i w:val="1"/>
          <w:iCs w:val="1"/>
          <w:color w:val="auto"/>
        </w:rPr>
      </w:pPr>
    </w:p>
    <w:p>
      <w:pPr>
        <w:ind w:left="140" w:hanging="132"/>
        <w:spacing w:after="0" w:line="229" w:lineRule="auto"/>
        <w:tabs>
          <w:tab w:leader="none" w:pos="140" w:val="left"/>
        </w:tabs>
        <w:numPr>
          <w:ilvl w:val="0"/>
          <w:numId w:val="4"/>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Investments include $39.3 million at March 31, 2022, and $42.5 million at December 31, 2021 of other T. Rowe Price investment products.</w:t>
      </w:r>
    </w:p>
    <w:p>
      <w:pPr>
        <w:spacing w:after="0" w:line="21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Although we can redeem our net interest in these consolidated T. Rowe Price investment products at any time, we cannot directly access or sell the assets held by these products to obtain cash for general operations. Additionally, the assets of these investment products are not available to our general creditors.</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Since third party investors in these investment products have no recourse to our credit, our overall risk related to the net assets of consolidated T. Rowe Price investment products is limited to valuation changes associated with our net interest. We, however, are required to recognize the valuation changes associated with all underlying investments held by these products in our unaudited condensed consolidated statements of income and disclose the portion attributable to third party investors as net income attributable to redeemable non-controlling interests.</w:t>
      </w:r>
    </w:p>
    <w:p>
      <w:pPr>
        <w:spacing w:after="0" w:line="206"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The operating results of the consolidated T. Rowe Price investment products for the three months ended March 31, 2022 and 2021, are reflected in our unaudited condensed consolidated statements of income as follows:</w:t>
      </w:r>
    </w:p>
    <w:p>
      <w:pPr>
        <w:spacing w:after="0" w:line="77"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3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2080" w:type="dxa"/>
            <w:vAlign w:val="bottom"/>
            <w:tcBorders>
              <w:bottom w:val="single" w:sz="8" w:color="auto"/>
            </w:tcBorders>
            <w:gridSpan w:val="5"/>
            <w:shd w:val="clear" w:color="auto" w:fill="CCEEFF"/>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3/31/2022</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3/31/2021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4320" w:type="dxa"/>
            <w:vAlign w:val="bottom"/>
            <w:shd w:val="clear" w:color="auto" w:fill="CCEEFF"/>
          </w:tcPr>
          <w:p>
            <w:pPr>
              <w:spacing w:after="0"/>
              <w:rPr>
                <w:sz w:val="12"/>
                <w:szCs w:val="12"/>
                <w:color w:val="auto"/>
              </w:rPr>
            </w:pPr>
          </w:p>
        </w:tc>
        <w:tc>
          <w:tcPr>
            <w:tcW w:w="116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Voting interest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43" w:lineRule="exact"/>
              <w:rPr>
                <w:sz w:val="20"/>
                <w:szCs w:val="20"/>
                <w:color w:val="auto"/>
              </w:rPr>
            </w:pPr>
            <w:r>
              <w:rPr>
                <w:rFonts w:ascii="Arial" w:cs="Arial" w:eastAsia="Arial" w:hAnsi="Arial"/>
                <w:sz w:val="14"/>
                <w:szCs w:val="14"/>
                <w:b w:val="1"/>
                <w:bCs w:val="1"/>
                <w:color w:val="auto"/>
              </w:rPr>
              <w:t>Variable</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Voting interest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43" w:lineRule="exact"/>
              <w:rPr>
                <w:sz w:val="20"/>
                <w:szCs w:val="20"/>
                <w:color w:val="auto"/>
              </w:rPr>
            </w:pPr>
            <w:r>
              <w:rPr>
                <w:rFonts w:ascii="Arial" w:cs="Arial" w:eastAsia="Arial" w:hAnsi="Arial"/>
                <w:sz w:val="14"/>
                <w:szCs w:val="14"/>
                <w:b w:val="1"/>
                <w:bCs w:val="1"/>
                <w:color w:val="auto"/>
              </w:rPr>
              <w:t>Variable</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160" w:type="dxa"/>
            <w:vAlign w:val="bottom"/>
            <w:gridSpan w:val="3"/>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b w:val="1"/>
                <w:bCs w:val="1"/>
                <w:color w:val="auto"/>
              </w:rPr>
              <w:t>interest</w:t>
            </w:r>
          </w:p>
        </w:tc>
        <w:tc>
          <w:tcPr>
            <w:tcW w:w="2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Total</w:t>
            </w:r>
          </w:p>
        </w:tc>
        <w:tc>
          <w:tcPr>
            <w:tcW w:w="1160" w:type="dxa"/>
            <w:vAlign w:val="bottom"/>
            <w:gridSpan w:val="3"/>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b w:val="1"/>
                <w:bCs w:val="1"/>
                <w:color w:val="auto"/>
              </w:rPr>
              <w:t>interest</w:t>
            </w: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3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2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2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Operating expenses reflected in net operating income</w:t>
            </w: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76"/>
        </w:trPr>
        <w:tc>
          <w:tcPr>
            <w:tcW w:w="4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investment income (loss) reflected in non-</w:t>
            </w: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Impact on income before taxes</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Net income (loss) attributable to T. Rowe Price</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176"/>
        </w:trPr>
        <w:tc>
          <w:tcPr>
            <w:tcW w:w="4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income (loss) attributable to redeemable non-</w:t>
            </w: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controlling interests</w:t>
            </w: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ind w:right="120"/>
        <w:spacing w:after="0" w:line="282" w:lineRule="auto"/>
        <w:rPr>
          <w:sz w:val="20"/>
          <w:szCs w:val="20"/>
          <w:color w:val="auto"/>
        </w:rPr>
      </w:pPr>
      <w:r>
        <w:rPr>
          <w:rFonts w:ascii="Arial" w:cs="Arial" w:eastAsia="Arial" w:hAnsi="Arial"/>
          <w:sz w:val="17"/>
          <w:szCs w:val="17"/>
          <w:color w:val="auto"/>
        </w:rPr>
        <w:t>The operating expenses of the consolidated investment products are reflected in general, administrative and other expenses. In preparing our unaudited condensed consolidated financial statements, we eliminated operating expenses of $0.9 million and $1.3 million for the three months ended March 31, 2022 and 2021, respectively, against the investment advisory and administrative fees earned from these products. The net investment income (loss) reflected in non-operating income (loss) includes dividend and interest income as well as realized and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unrealized gains and losses on the underlying securities held by the consolidated T. Rowe Price investment products.</w:t>
      </w:r>
    </w:p>
    <w:p>
      <w:pPr>
        <w:spacing w:after="0" w:line="252" w:lineRule="exact"/>
        <w:rPr>
          <w:sz w:val="20"/>
          <w:szCs w:val="20"/>
          <w:color w:val="auto"/>
        </w:rPr>
      </w:pPr>
    </w:p>
    <w:p>
      <w:pPr>
        <w:ind w:right="1020"/>
        <w:spacing w:after="0" w:line="287" w:lineRule="auto"/>
        <w:rPr>
          <w:sz w:val="20"/>
          <w:szCs w:val="20"/>
          <w:color w:val="auto"/>
        </w:rPr>
      </w:pPr>
      <w:r>
        <w:rPr>
          <w:rFonts w:ascii="Arial" w:cs="Arial" w:eastAsia="Arial" w:hAnsi="Arial"/>
          <w:sz w:val="18"/>
          <w:szCs w:val="18"/>
          <w:color w:val="auto"/>
        </w:rPr>
        <w:t>The table below details the impact of these consolidated investment products on the individual lines of our unaudited condensed consolidated statements of cash flows for the three months ended March 31, 2022 and 2021.</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3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100" w:type="dxa"/>
            <w:vAlign w:val="bottom"/>
            <w:tcBorders>
              <w:bottom w:val="single" w:sz="8" w:color="auto"/>
            </w:tcBorders>
            <w:gridSpan w:val="5"/>
            <w:shd w:val="clear" w:color="auto" w:fill="CCEEFF"/>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3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3/31/2022</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3/31/2021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4"/>
                <w:szCs w:val="14"/>
                <w:b w:val="1"/>
                <w:bCs w:val="1"/>
                <w:color w:val="auto"/>
              </w:rPr>
              <w:t>Voting</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47" w:lineRule="exact"/>
              <w:rPr>
                <w:sz w:val="20"/>
                <w:szCs w:val="20"/>
                <w:color w:val="auto"/>
              </w:rPr>
            </w:pPr>
            <w:r>
              <w:rPr>
                <w:rFonts w:ascii="Arial" w:cs="Arial" w:eastAsia="Arial" w:hAnsi="Arial"/>
                <w:sz w:val="14"/>
                <w:szCs w:val="14"/>
                <w:b w:val="1"/>
                <w:bCs w:val="1"/>
                <w:color w:val="auto"/>
              </w:rPr>
              <w:t>Variable</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4"/>
                <w:szCs w:val="14"/>
                <w:b w:val="1"/>
                <w:bCs w:val="1"/>
                <w:color w:val="auto"/>
              </w:rPr>
              <w:t>Voting</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47" w:lineRule="exact"/>
              <w:rPr>
                <w:sz w:val="20"/>
                <w:szCs w:val="20"/>
                <w:color w:val="auto"/>
              </w:rPr>
            </w:pPr>
            <w:r>
              <w:rPr>
                <w:rFonts w:ascii="Arial" w:cs="Arial" w:eastAsia="Arial" w:hAnsi="Arial"/>
                <w:sz w:val="14"/>
                <w:szCs w:val="14"/>
                <w:b w:val="1"/>
                <w:bCs w:val="1"/>
                <w:color w:val="auto"/>
              </w:rPr>
              <w:t>Variable</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(in millions)</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interest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b w:val="1"/>
                <w:bCs w:val="1"/>
                <w:color w:val="auto"/>
              </w:rPr>
              <w:t>interest</w:t>
            </w:r>
          </w:p>
        </w:tc>
        <w:tc>
          <w:tcPr>
            <w:tcW w:w="2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Total</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interest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b w:val="1"/>
                <w:bCs w:val="1"/>
                <w:color w:val="auto"/>
              </w:rPr>
              <w:t>interest</w:t>
            </w: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32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2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6"/>
                <w:szCs w:val="16"/>
                <w:color w:val="auto"/>
              </w:rPr>
              <w:t>Net cash provided by (used in) operating activities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6"/>
                <w:szCs w:val="16"/>
                <w:color w:val="auto"/>
              </w:rPr>
              <w:t>Net cash provided by (used in) financing activities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112.3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162"/>
        </w:trPr>
        <w:tc>
          <w:tcPr>
            <w:tcW w:w="43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Effect of exchange rate changes on cash and cash</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equivalents of consolidated</w:t>
            </w: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T. Rowe Price investment products</w:t>
            </w: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6"/>
                <w:szCs w:val="16"/>
                <w:color w:val="auto"/>
              </w:rPr>
              <w:t>Net change in cash and cash equivalents during period</w:t>
            </w: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year</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97.7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net cash provided by financing activities during the three months ended March 31, 2022 and 2021 includes $35.1 million and $34.1 million, respectively, of net subscriptions we made into the consolidated T. Rowe Price investment products, net of dividends received. These cash flows were eliminated in consolidation.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MEASUREMENTS.</w:t>
      </w:r>
    </w:p>
    <w:p>
      <w:pPr>
        <w:spacing w:after="0" w:line="25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We determine the fair value of investments held by consolidated T. Rowe Price investment products using the following broad levels of inputs as defined by related accounting standards: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27" w:lineRule="exact"/>
        <w:rPr>
          <w:sz w:val="20"/>
          <w:szCs w:val="20"/>
          <w:color w:val="auto"/>
        </w:rPr>
      </w:pPr>
    </w:p>
    <w:p>
      <w:pPr>
        <w:ind w:left="740" w:right="220" w:hanging="728"/>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ind w:left="740" w:right="40" w:hanging="728"/>
        <w:spacing w:after="0" w:line="266"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The value of investments using Level 3 inputs is insignificant.</w:t>
      </w:r>
    </w:p>
    <w:p>
      <w:pPr>
        <w:spacing w:after="0" w:line="19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These levels are not necessarily an indication of the risk or liquidity associated with these investment holdings. The following table summarizes the investment holdings held by our consolidated T. Rowe Price investment products using fair value measurements determined based on the differing levels of inputs.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3/31/2022</w:t>
            </w:r>
          </w:p>
        </w:tc>
        <w:tc>
          <w:tcPr>
            <w:tcW w:w="10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gridSpan w:val="3"/>
            <w:shd w:val="clear" w:color="auto" w:fill="CCEEFF"/>
          </w:tcPr>
          <w:p>
            <w:pPr>
              <w:ind w:left="840"/>
              <w:spacing w:after="0"/>
              <w:rPr>
                <w:sz w:val="20"/>
                <w:szCs w:val="20"/>
                <w:color w:val="auto"/>
              </w:rPr>
            </w:pPr>
            <w:r>
              <w:rPr>
                <w:rFonts w:ascii="Arial" w:cs="Arial" w:eastAsia="Arial" w:hAnsi="Arial"/>
                <w:sz w:val="14"/>
                <w:szCs w:val="14"/>
                <w:b w:val="1"/>
                <w:bCs w:val="1"/>
                <w:color w:val="auto"/>
              </w:rPr>
              <w:t>12/31/2021</w:t>
            </w:r>
          </w:p>
        </w:tc>
        <w:tc>
          <w:tcPr>
            <w:tcW w:w="1060" w:type="dxa"/>
            <w:vAlign w:val="bottom"/>
            <w:tcBorders>
              <w:top w:val="single" w:sz="8" w:color="auto"/>
              <w:bottom w:val="single" w:sz="8" w:color="auto"/>
            </w:tcBorders>
            <w:shd w:val="clear" w:color="auto" w:fill="CCEEFF"/>
          </w:tcPr>
          <w:p>
            <w:pPr>
              <w:spacing w:after="0"/>
              <w:rPr>
                <w:sz w:val="18"/>
                <w:szCs w:val="18"/>
                <w:color w:val="auto"/>
              </w:rPr>
            </w:pPr>
          </w:p>
        </w:tc>
      </w:tr>
      <w:tr>
        <w:trPr>
          <w:trHeight w:val="195"/>
        </w:trPr>
        <w:tc>
          <w:tcPr>
            <w:tcW w:w="51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16"/>
                <w:szCs w:val="16"/>
                <w:color w:val="auto"/>
              </w:rPr>
            </w:pPr>
          </w:p>
        </w:tc>
        <w:tc>
          <w:tcPr>
            <w:tcW w:w="1060" w:type="dxa"/>
            <w:vAlign w:val="bottom"/>
          </w:tcPr>
          <w:p>
            <w:pPr>
              <w:jc w:val="right"/>
              <w:ind w:right="393"/>
              <w:spacing w:after="0"/>
              <w:rPr>
                <w:sz w:val="20"/>
                <w:szCs w:val="20"/>
                <w:color w:val="auto"/>
              </w:rPr>
            </w:pPr>
            <w:r>
              <w:rPr>
                <w:rFonts w:ascii="Arial" w:cs="Arial" w:eastAsia="Arial" w:hAnsi="Arial"/>
                <w:sz w:val="14"/>
                <w:szCs w:val="14"/>
                <w:b w:val="1"/>
                <w:bCs w:val="1"/>
                <w:color w:val="auto"/>
              </w:rPr>
              <w:t>Level 2</w:t>
            </w:r>
          </w:p>
        </w:tc>
      </w:tr>
      <w:tr>
        <w:trPr>
          <w:trHeight w:val="210"/>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30"/>
        </w:trPr>
        <w:tc>
          <w:tcPr>
            <w:tcW w:w="5160" w:type="dxa"/>
            <w:vAlign w:val="bottom"/>
          </w:tcPr>
          <w:p>
            <w:pPr>
              <w:ind w:left="120"/>
              <w:spacing w:after="0"/>
              <w:rPr>
                <w:sz w:val="20"/>
                <w:szCs w:val="20"/>
                <w:color w:val="auto"/>
              </w:rPr>
            </w:pPr>
            <w:r>
              <w:rPr>
                <w:rFonts w:ascii="Arial" w:cs="Arial" w:eastAsia="Arial" w:hAnsi="Arial"/>
                <w:sz w:val="18"/>
                <w:szCs w:val="18"/>
                <w:color w:val="auto"/>
              </w:rPr>
              <w:t>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securities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w:t>
            </w:r>
          </w:p>
        </w:tc>
      </w:tr>
      <w:tr>
        <w:trPr>
          <w:trHeight w:val="229"/>
        </w:trPr>
        <w:tc>
          <w:tcPr>
            <w:tcW w:w="5160" w:type="dxa"/>
            <w:vAlign w:val="bottom"/>
          </w:tcPr>
          <w:p>
            <w:pPr>
              <w:ind w:left="140"/>
              <w:spacing w:after="0"/>
              <w:rPr>
                <w:sz w:val="20"/>
                <w:szCs w:val="20"/>
                <w:color w:val="auto"/>
              </w:rPr>
            </w:pPr>
            <w:r>
              <w:rPr>
                <w:rFonts w:ascii="Arial" w:cs="Arial" w:eastAsia="Arial" w:hAnsi="Arial"/>
                <w:sz w:val="18"/>
                <w:szCs w:val="18"/>
                <w:color w:val="auto"/>
              </w:rPr>
              <w:t>Fixed income securities</w:t>
            </w:r>
          </w:p>
        </w:tc>
        <w:tc>
          <w:tcPr>
            <w:tcW w:w="2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1,187.4</w:t>
            </w: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investments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r>
      <w:tr>
        <w:trPr>
          <w:trHeight w:val="223"/>
        </w:trPr>
        <w:tc>
          <w:tcPr>
            <w:tcW w:w="5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1,581.1</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4"/>
        </w:trPr>
        <w:tc>
          <w:tcPr>
            <w:tcW w:w="5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6 - GOODWILL AND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Goodwill and intangible assets consist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46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4"/>
                <w:szCs w:val="14"/>
                <w:b w:val="1"/>
                <w:bCs w:val="1"/>
                <w:color w:val="auto"/>
              </w:rPr>
              <w:t>3/31/2022</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ind w:right="673"/>
              <w:spacing w:after="0"/>
              <w:rPr>
                <w:sz w:val="20"/>
                <w:szCs w:val="20"/>
                <w:color w:val="auto"/>
              </w:rPr>
            </w:pPr>
            <w:r>
              <w:rPr>
                <w:rFonts w:ascii="Arial" w:cs="Arial" w:eastAsia="Arial" w:hAnsi="Arial"/>
                <w:sz w:val="14"/>
                <w:szCs w:val="14"/>
                <w:b w:val="1"/>
                <w:bCs w:val="1"/>
                <w:color w:val="auto"/>
              </w:rPr>
              <w:t>12/31/2021</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Goodwill</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2,643.9</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2,693.2</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 - trade name</w:t>
            </w:r>
          </w:p>
        </w:tc>
        <w:tc>
          <w:tcPr>
            <w:tcW w:w="4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Indefinite-lived intangible assets - investment advisory agreements</w:t>
            </w:r>
          </w:p>
        </w:tc>
        <w:tc>
          <w:tcPr>
            <w:tcW w:w="4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164.8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164.8</w:t>
            </w: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Definite-lived intangible assets - investment advisory agreements</w:t>
            </w:r>
          </w:p>
        </w:tc>
        <w:tc>
          <w:tcPr>
            <w:tcW w:w="4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613.9</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3,530.2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3,606.6</w:t>
            </w:r>
          </w:p>
        </w:tc>
      </w:tr>
      <w:tr>
        <w:trPr>
          <w:trHeight w:val="21"/>
        </w:trPr>
        <w:tc>
          <w:tcPr>
            <w:tcW w:w="66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Estimated amortization expense for the definite-lived investment advisory agreements intangible assets for the remainder of 2022 is</w:t>
      </w:r>
    </w:p>
    <w:p>
      <w:pPr>
        <w:spacing w:after="0" w:line="27"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$81.4 million, $108.1 million for 2023, $105.7 million for 2024, $105.0 million for 2025, and $87.7 million for 2026. Amortization expense for the definite-lived investment advisory agreements intangible assets was $27.1 million for the three months ended March 31,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Goodwill activity during the three months ended March 31, 2022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 millions)</w:t>
            </w:r>
          </w:p>
        </w:tc>
        <w:tc>
          <w:tcPr>
            <w:tcW w:w="1380" w:type="dxa"/>
            <w:vAlign w:val="bottom"/>
            <w:tcBorders>
              <w:bottom w:val="single" w:sz="8" w:color="auto"/>
            </w:tcBorders>
            <w:shd w:val="clear" w:color="auto" w:fill="CCEEFF"/>
          </w:tcPr>
          <w:p>
            <w:pPr>
              <w:spacing w:after="0"/>
              <w:rPr>
                <w:sz w:val="17"/>
                <w:szCs w:val="17"/>
                <w:color w:val="auto"/>
              </w:rPr>
            </w:pPr>
          </w:p>
        </w:tc>
        <w:tc>
          <w:tcPr>
            <w:tcW w:w="4240" w:type="dxa"/>
            <w:vAlign w:val="bottom"/>
            <w:tcBorders>
              <w:bottom w:val="single" w:sz="8" w:color="auto"/>
            </w:tcBorders>
            <w:shd w:val="clear" w:color="auto" w:fill="CCEEFF"/>
          </w:tcPr>
          <w:p>
            <w:pPr>
              <w:jc w:val="right"/>
              <w:ind w:right="2575"/>
              <w:spacing w:after="0"/>
              <w:rPr>
                <w:sz w:val="20"/>
                <w:szCs w:val="20"/>
                <w:color w:val="auto"/>
              </w:rPr>
            </w:pPr>
            <w:r>
              <w:rPr>
                <w:rFonts w:ascii="Arial" w:cs="Arial" w:eastAsia="Arial" w:hAnsi="Arial"/>
                <w:sz w:val="14"/>
                <w:szCs w:val="14"/>
                <w:b w:val="1"/>
                <w:bCs w:val="1"/>
                <w:color w:val="auto"/>
              </w:rPr>
              <w:t>2022</w:t>
            </w: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Balance, 12/31/2021</w:t>
            </w:r>
          </w:p>
        </w:tc>
        <w:tc>
          <w:tcPr>
            <w:tcW w:w="1380" w:type="dxa"/>
            <w:vAlign w:val="bottom"/>
          </w:tcPr>
          <w:p>
            <w:pPr>
              <w:jc w:val="right"/>
              <w:ind w:right="1190"/>
              <w:spacing w:after="0"/>
              <w:rPr>
                <w:sz w:val="20"/>
                <w:szCs w:val="20"/>
                <w:color w:val="auto"/>
              </w:rPr>
            </w:pPr>
            <w:r>
              <w:rPr>
                <w:rFonts w:ascii="Arial" w:cs="Arial" w:eastAsia="Arial" w:hAnsi="Arial"/>
                <w:sz w:val="18"/>
                <w:szCs w:val="18"/>
                <w:color w:val="auto"/>
                <w:w w:val="79"/>
              </w:rPr>
              <w:t>$</w:t>
            </w:r>
          </w:p>
        </w:tc>
        <w:tc>
          <w:tcPr>
            <w:tcW w:w="4240" w:type="dxa"/>
            <w:vAlign w:val="bottom"/>
          </w:tcPr>
          <w:p>
            <w:pPr>
              <w:jc w:val="right"/>
              <w:spacing w:after="0"/>
              <w:rPr>
                <w:sz w:val="20"/>
                <w:szCs w:val="20"/>
                <w:color w:val="auto"/>
              </w:rPr>
            </w:pPr>
            <w:r>
              <w:rPr>
                <w:rFonts w:ascii="Arial" w:cs="Arial" w:eastAsia="Arial" w:hAnsi="Arial"/>
                <w:sz w:val="18"/>
                <w:szCs w:val="18"/>
                <w:color w:val="auto"/>
              </w:rPr>
              <w:t>2,693.2</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Measurement period adjustment</w:t>
            </w:r>
          </w:p>
        </w:tc>
        <w:tc>
          <w:tcPr>
            <w:tcW w:w="1380" w:type="dxa"/>
            <w:vAlign w:val="bottom"/>
            <w:tcBorders>
              <w:bottom w:val="single" w:sz="8" w:color="auto"/>
            </w:tcBorders>
            <w:shd w:val="clear" w:color="auto" w:fill="CCEEFF"/>
          </w:tcPr>
          <w:p>
            <w:pPr>
              <w:spacing w:after="0"/>
              <w:rPr>
                <w:sz w:val="19"/>
                <w:szCs w:val="19"/>
                <w:color w:val="auto"/>
              </w:rPr>
            </w:pPr>
          </w:p>
        </w:tc>
        <w:tc>
          <w:tcPr>
            <w:tcW w:w="4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Balance, 3/31/2022</w:t>
            </w:r>
          </w:p>
        </w:tc>
        <w:tc>
          <w:tcPr>
            <w:tcW w:w="138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color w:val="auto"/>
                <w:w w:val="79"/>
              </w:rPr>
              <w:t>$</w:t>
            </w:r>
          </w:p>
        </w:tc>
        <w:tc>
          <w:tcPr>
            <w:tcW w:w="4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2,643.9</w:t>
            </w:r>
          </w:p>
        </w:tc>
      </w:tr>
      <w:tr>
        <w:trPr>
          <w:trHeight w:val="21"/>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We evaluate the carrying amount of goodwill for possible impairment on an annual basis in the third quarter using a fair value approach or if triggering events occur that require us to evaluate for impairment earlier.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STOCK-BASED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OPTIONS.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options during the three months ended March 31, 2022.</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center"/>
              <w:ind w:right="159"/>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4"/>
        </w:trPr>
        <w:tc>
          <w:tcPr>
            <w:tcW w:w="82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jc w:val="center"/>
              <w:ind w:right="159"/>
              <w:spacing w:after="0" w:line="14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9"/>
        </w:trPr>
        <w:tc>
          <w:tcPr>
            <w:tcW w:w="828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Options</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jc w:val="center"/>
              <w:ind w:right="159"/>
              <w:spacing w:after="0" w:line="139"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98"/>
        </w:trPr>
        <w:tc>
          <w:tcPr>
            <w:tcW w:w="8280" w:type="dxa"/>
            <w:vAlign w:val="bottom"/>
            <w:shd w:val="clear" w:color="auto" w:fill="CCEEFF"/>
          </w:tcPr>
          <w:p>
            <w:pPr>
              <w:spacing w:after="0"/>
              <w:rPr>
                <w:sz w:val="17"/>
                <w:szCs w:val="17"/>
                <w:color w:val="auto"/>
              </w:rPr>
            </w:pPr>
          </w:p>
        </w:tc>
        <w:tc>
          <w:tcPr>
            <w:tcW w:w="14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center"/>
              <w:ind w:right="159"/>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Outstanding at December 31, 2021</w:t>
            </w:r>
          </w:p>
        </w:tc>
        <w:tc>
          <w:tcPr>
            <w:tcW w:w="1420" w:type="dxa"/>
            <w:vAlign w:val="bottom"/>
          </w:tcPr>
          <w:p>
            <w:pPr>
              <w:jc w:val="right"/>
              <w:spacing w:after="0"/>
              <w:rPr>
                <w:sz w:val="20"/>
                <w:szCs w:val="20"/>
                <w:color w:val="auto"/>
              </w:rPr>
            </w:pPr>
            <w:r>
              <w:rPr>
                <w:rFonts w:ascii="Arial" w:cs="Arial" w:eastAsia="Arial" w:hAnsi="Arial"/>
                <w:sz w:val="18"/>
                <w:szCs w:val="18"/>
                <w:color w:val="auto"/>
              </w:rPr>
              <w:t>2,846,579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72.87</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(214,772)</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64.58</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Outstanding at March 31, 2022</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2,631,807</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73.55</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March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2,631,807</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73.55</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auto"/>
        </w:rPr>
        <w:t>RESTRICTED SHARES AND STOCK UNITS.</w:t>
      </w:r>
    </w:p>
    <w:p>
      <w:pPr>
        <w:spacing w:after="0" w:line="252"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 following table summarizes the status of, and changes in, our nonvested restricted shares and restricted stock units during the three months ended March 31, 2022.</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shd w:val="clear" w:color="auto" w:fill="CCEEFF"/>
          </w:tcPr>
          <w:p>
            <w:pPr>
              <w:spacing w:after="0"/>
              <w:rPr>
                <w:sz w:val="14"/>
                <w:szCs w:val="14"/>
                <w:color w:val="auto"/>
              </w:rPr>
            </w:pPr>
          </w:p>
        </w:tc>
        <w:tc>
          <w:tcPr>
            <w:tcW w:w="15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Restricted</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Restricted</w:t>
            </w:r>
          </w:p>
        </w:tc>
        <w:tc>
          <w:tcPr>
            <w:tcW w:w="12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3"/>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spacing w:after="0"/>
              <w:rPr>
                <w:sz w:val="12"/>
                <w:szCs w:val="12"/>
                <w:color w:val="auto"/>
              </w:rPr>
            </w:pPr>
          </w:p>
        </w:tc>
        <w:tc>
          <w:tcPr>
            <w:tcW w:w="1540" w:type="dxa"/>
            <w:vAlign w:val="bottom"/>
            <w:gridSpan w:val="2"/>
            <w:vMerge w:val="continue"/>
            <w:shd w:val="clear" w:color="auto" w:fill="CCEEFF"/>
          </w:tcPr>
          <w:p>
            <w:pPr>
              <w:spacing w:after="0"/>
              <w:rPr>
                <w:sz w:val="12"/>
                <w:szCs w:val="12"/>
                <w:color w:val="auto"/>
              </w:rPr>
            </w:pP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rPr>
              <w:t>stock</w:t>
            </w:r>
          </w:p>
        </w:tc>
        <w:tc>
          <w:tcPr>
            <w:tcW w:w="120" w:type="dxa"/>
            <w:vAlign w:val="bottom"/>
            <w:shd w:val="clear" w:color="auto" w:fill="CCEEFF"/>
          </w:tcPr>
          <w:p>
            <w:pPr>
              <w:spacing w:after="0"/>
              <w:rPr>
                <w:sz w:val="12"/>
                <w:szCs w:val="12"/>
                <w:color w:val="auto"/>
              </w:rPr>
            </w:pPr>
          </w:p>
        </w:tc>
        <w:tc>
          <w:tcPr>
            <w:tcW w:w="144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shares</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units</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Nonvested at December 31, 2021</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5,720</w:t>
            </w:r>
          </w:p>
        </w:tc>
        <w:tc>
          <w:tcPr>
            <w:tcW w:w="12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5,701,865</w:t>
            </w: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146.87</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Time-based grants</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8,078</w:t>
            </w:r>
          </w:p>
        </w:tc>
        <w:tc>
          <w:tcPr>
            <w:tcW w:w="38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173.08</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Dividend equivalents granted to non-employee directors</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786</w:t>
            </w:r>
          </w:p>
        </w:tc>
        <w:tc>
          <w:tcPr>
            <w:tcW w:w="38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153.10</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(62,378)</w:t>
            </w:r>
          </w:p>
        </w:tc>
        <w:tc>
          <w:tcPr>
            <w:tcW w:w="38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98.23</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(61,216)</w:t>
            </w:r>
          </w:p>
        </w:tc>
        <w:tc>
          <w:tcPr>
            <w:tcW w:w="38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141.91</w:t>
            </w:r>
          </w:p>
        </w:tc>
        <w:tc>
          <w:tcPr>
            <w:tcW w:w="0" w:type="dxa"/>
            <w:vAlign w:val="bottom"/>
          </w:tcPr>
          <w:p>
            <w:pPr>
              <w:spacing w:after="0"/>
              <w:rPr>
                <w:sz w:val="1"/>
                <w:szCs w:val="1"/>
                <w:color w:val="auto"/>
              </w:rPr>
            </w:pPr>
          </w:p>
        </w:tc>
      </w:tr>
      <w:tr>
        <w:trPr>
          <w:trHeight w:val="248"/>
        </w:trPr>
        <w:tc>
          <w:tcPr>
            <w:tcW w:w="6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March 31, 2022</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5,587,135</w:t>
            </w:r>
          </w:p>
        </w:tc>
        <w:tc>
          <w:tcPr>
            <w:tcW w:w="380" w:type="dxa"/>
            <w:vAlign w:val="bottom"/>
            <w:tcBorders>
              <w:top w:val="single" w:sz="8" w:color="CCEEFF"/>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147.50</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Nonvested at March 31, 2022, includes performance-based restricted stock units of 294,518. These nonvested performance-based restricted stock units include 81,123 units for which the performance period has lapsed, and the performance threshold has been met.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FUTURE STOCK-BASED COMPENSATION EXPENSE.</w:t>
      </w:r>
    </w:p>
    <w:p>
      <w:pPr>
        <w:spacing w:after="0" w:line="25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following table presents the compensation expense to be recognized over the remaining vesting periods of the stock-based awards outstanding at March 31, 2022. Estimated future compensation expense will change to reflect future grants of restricted stock awards and units, future option grants, changes in the probability of performance thresholds being met, and adjustments for actual 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Second quarter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Third quarter 2022</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Fourth quarter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2023</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2024 through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ind w:left="1007" w:hanging="1007"/>
        <w:spacing w:after="0"/>
        <w:tabs>
          <w:tab w:leader="none" w:pos="1007" w:val="left"/>
        </w:tabs>
        <w:numPr>
          <w:ilvl w:val="0"/>
          <w:numId w:val="5"/>
        </w:numPr>
        <w:rPr>
          <w:rFonts w:ascii="Arial" w:cs="Arial" w:eastAsia="Arial" w:hAnsi="Arial"/>
          <w:sz w:val="17"/>
          <w:szCs w:val="17"/>
          <w:color w:val="auto"/>
        </w:rPr>
      </w:pPr>
      <w:r>
        <w:rPr>
          <w:rFonts w:ascii="Arial" w:cs="Arial" w:eastAsia="Arial" w:hAnsi="Arial"/>
          <w:sz w:val="17"/>
          <w:szCs w:val="17"/>
          <w:color w:val="auto"/>
        </w:rPr>
        <w:t>64.0</w:t>
      </w:r>
    </w:p>
    <w:p>
      <w:pPr>
        <w:spacing w:after="0" w:line="43" w:lineRule="exact"/>
        <w:rPr>
          <w:rFonts w:ascii="Arial" w:cs="Arial" w:eastAsia="Arial" w:hAnsi="Arial"/>
          <w:sz w:val="17"/>
          <w:szCs w:val="17"/>
          <w:color w:val="auto"/>
        </w:rPr>
      </w:pPr>
    </w:p>
    <w:p>
      <w:pPr>
        <w:ind w:left="1007"/>
        <w:spacing w:after="0"/>
        <w:rPr>
          <w:rFonts w:ascii="Arial" w:cs="Arial" w:eastAsia="Arial" w:hAnsi="Arial"/>
          <w:sz w:val="17"/>
          <w:szCs w:val="17"/>
          <w:color w:val="auto"/>
        </w:rPr>
      </w:pPr>
      <w:r>
        <w:rPr>
          <w:rFonts w:ascii="Arial" w:cs="Arial" w:eastAsia="Arial" w:hAnsi="Arial"/>
          <w:sz w:val="17"/>
          <w:szCs w:val="17"/>
          <w:color w:val="auto"/>
        </w:rPr>
        <w:t>63.1</w:t>
      </w:r>
    </w:p>
    <w:p>
      <w:pPr>
        <w:spacing w:after="0" w:line="34" w:lineRule="exact"/>
        <w:rPr>
          <w:rFonts w:ascii="Arial" w:cs="Arial" w:eastAsia="Arial" w:hAnsi="Arial"/>
          <w:sz w:val="17"/>
          <w:szCs w:val="17"/>
          <w:color w:val="auto"/>
        </w:rPr>
      </w:pPr>
    </w:p>
    <w:p>
      <w:pPr>
        <w:ind w:left="1007"/>
        <w:spacing w:after="0"/>
        <w:rPr>
          <w:rFonts w:ascii="Arial" w:cs="Arial" w:eastAsia="Arial" w:hAnsi="Arial"/>
          <w:sz w:val="17"/>
          <w:szCs w:val="17"/>
          <w:color w:val="auto"/>
        </w:rPr>
      </w:pPr>
      <w:r>
        <w:rPr>
          <w:rFonts w:ascii="Arial" w:cs="Arial" w:eastAsia="Arial" w:hAnsi="Arial"/>
          <w:sz w:val="17"/>
          <w:szCs w:val="17"/>
          <w:color w:val="auto"/>
        </w:rPr>
        <w:t>54.3</w:t>
      </w:r>
    </w:p>
    <w:p>
      <w:pPr>
        <w:spacing w:after="0" w:line="34"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125.5</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105.4</w:t>
      </w:r>
    </w:p>
    <w:p>
      <w:pPr>
        <w:spacing w:after="0" w:line="27" w:lineRule="exact"/>
        <w:rPr>
          <w:sz w:val="20"/>
          <w:szCs w:val="20"/>
          <w:color w:val="auto"/>
        </w:rPr>
      </w:pPr>
    </w:p>
    <w:p>
      <w:pPr>
        <w:ind w:left="907" w:hanging="907"/>
        <w:spacing w:after="0"/>
        <w:tabs>
          <w:tab w:leader="none" w:pos="907" w:val="left"/>
        </w:tabs>
        <w:numPr>
          <w:ilvl w:val="0"/>
          <w:numId w:val="6"/>
        </w:numPr>
        <w:rPr>
          <w:rFonts w:ascii="Arial" w:cs="Arial" w:eastAsia="Arial" w:hAnsi="Arial"/>
          <w:sz w:val="17"/>
          <w:szCs w:val="17"/>
          <w:color w:val="auto"/>
        </w:rPr>
      </w:pPr>
      <w:r>
        <w:rPr>
          <w:rFonts w:ascii="Arial" w:cs="Arial" w:eastAsia="Arial" w:hAnsi="Arial"/>
          <w:sz w:val="17"/>
          <w:szCs w:val="17"/>
          <w:color w:val="auto"/>
        </w:rPr>
        <w:t>412.3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50800</wp:posOffset>
            </wp:positionV>
            <wp:extent cx="9175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9093" w:space="720"/>
            <w:col w:w="1427"/>
          </w:cols>
          <w:pgMar w:left="320" w:top="1133" w:right="339" w:bottom="1440" w:gutter="0" w:footer="0" w:header="0"/>
          <w:type w:val="continuous"/>
        </w:sectPr>
      </w:pP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SHARE CALCULATIONS.</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table presents the reconciliation of net income attributable to T. Rowe Price to net income allocated to our common stockholders and the weighted-average shares that are used in calculating the basic and diluted earnings per share on our common stock. Weighted-average common shares outstanding assuming dilution reflects the potential dilution, determined using the treasury stock method, that could occur if outstanding stock options were exercised and non-participating stock awards vested. No outstanding stock options had an anti-dilutive impact on the diluted earnings per common share calculation in the periods presented.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40" w:type="dxa"/>
            <w:vAlign w:val="bottom"/>
            <w:gridSpan w:val="5"/>
            <w:shd w:val="clear" w:color="auto" w:fill="CCEEFF"/>
          </w:tcPr>
          <w:p>
            <w:pPr>
              <w:ind w:left="520"/>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3/31/2022</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3/31/2021</w:t>
            </w:r>
          </w:p>
        </w:tc>
        <w:tc>
          <w:tcPr>
            <w:tcW w:w="100" w:type="dxa"/>
            <w:vAlign w:val="bottom"/>
            <w:tcBorders>
              <w:bottom w:val="single" w:sz="8" w:color="CCEEFF"/>
            </w:tcBorders>
          </w:tcPr>
          <w:p>
            <w:pPr>
              <w:spacing w:after="0"/>
              <w:rPr>
                <w:sz w:val="16"/>
                <w:szCs w:val="16"/>
                <w:color w:val="auto"/>
              </w:rPr>
            </w:pPr>
          </w:p>
        </w:tc>
      </w:tr>
      <w:tr>
        <w:trPr>
          <w:trHeight w:val="224"/>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T. Rowe Price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749.4</w:t>
            </w:r>
          </w:p>
        </w:tc>
        <w:tc>
          <w:tcPr>
            <w:tcW w:w="100" w:type="dxa"/>
            <w:vAlign w:val="bottom"/>
            <w:shd w:val="clear" w:color="auto" w:fill="CCEEFF"/>
          </w:tcPr>
          <w:p>
            <w:pPr>
              <w:spacing w:after="0"/>
              <w:rPr>
                <w:sz w:val="19"/>
                <w:szCs w:val="19"/>
                <w:color w:val="auto"/>
              </w:rPr>
            </w:pP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income allocated to outstanding restricted stock and stock unit holders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tcPr>
          <w:p>
            <w:pPr>
              <w:spacing w:after="0"/>
              <w:rPr>
                <w:sz w:val="19"/>
                <w:szCs w:val="19"/>
                <w:color w:val="auto"/>
              </w:rPr>
            </w:pP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allocated to common stockholders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7"/>
        </w:trPr>
        <w:tc>
          <w:tcPr>
            <w:tcW w:w="8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14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w:t>
            </w:r>
          </w:p>
        </w:tc>
        <w:tc>
          <w:tcPr>
            <w:tcW w:w="100" w:type="dxa"/>
            <w:vAlign w:val="bottom"/>
          </w:tcPr>
          <w:p>
            <w:pPr>
              <w:spacing w:after="0"/>
              <w:rPr>
                <w:sz w:val="19"/>
                <w:szCs w:val="19"/>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49"/>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assuming dilution</w:t>
            </w: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9 – OTHER COMPREHENSIVE INCOME AND ACCUMULATED OTHER COMPREHENSIVE LOSS.</w:t>
      </w:r>
    </w:p>
    <w:p>
      <w:pPr>
        <w:spacing w:after="0" w:line="306"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The changes in each component of accumulated other comprehensive loss, including reclassification adjustments for the three months ended March 31, 2022 and 2021 are presented in the table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960" w:type="dxa"/>
            <w:vAlign w:val="bottom"/>
            <w:gridSpan w:val="8"/>
            <w:shd w:val="clear" w:color="auto" w:fill="CCEEFF"/>
          </w:tcPr>
          <w:p>
            <w:pPr>
              <w:ind w:left="780"/>
              <w:spacing w:after="0"/>
              <w:rPr>
                <w:sz w:val="20"/>
                <w:szCs w:val="20"/>
                <w:color w:val="auto"/>
              </w:rPr>
            </w:pPr>
            <w:r>
              <w:rPr>
                <w:rFonts w:ascii="Arial" w:cs="Arial" w:eastAsia="Arial" w:hAnsi="Arial"/>
                <w:sz w:val="14"/>
                <w:szCs w:val="14"/>
                <w:b w:val="1"/>
                <w:bCs w:val="1"/>
                <w:color w:val="auto"/>
              </w:rPr>
              <w:t>Three months ended 3/31/2022</w:t>
            </w:r>
          </w:p>
        </w:tc>
        <w:tc>
          <w:tcPr>
            <w:tcW w:w="120" w:type="dxa"/>
            <w:vAlign w:val="bottom"/>
            <w:shd w:val="clear" w:color="auto" w:fill="CCEEFF"/>
          </w:tcPr>
          <w:p>
            <w:pPr>
              <w:spacing w:after="0"/>
              <w:rPr>
                <w:sz w:val="17"/>
                <w:szCs w:val="17"/>
                <w:color w:val="auto"/>
              </w:rPr>
            </w:pPr>
          </w:p>
        </w:tc>
        <w:tc>
          <w:tcPr>
            <w:tcW w:w="3800" w:type="dxa"/>
            <w:vAlign w:val="bottom"/>
            <w:gridSpan w:val="7"/>
            <w:shd w:val="clear" w:color="auto" w:fill="CCEEFF"/>
          </w:tcPr>
          <w:p>
            <w:pPr>
              <w:jc w:val="right"/>
              <w:ind w:right="842"/>
              <w:spacing w:after="0"/>
              <w:rPr>
                <w:sz w:val="20"/>
                <w:szCs w:val="20"/>
                <w:color w:val="auto"/>
              </w:rPr>
            </w:pPr>
            <w:r>
              <w:rPr>
                <w:rFonts w:ascii="Arial" w:cs="Arial" w:eastAsia="Arial" w:hAnsi="Arial"/>
                <w:sz w:val="14"/>
                <w:szCs w:val="14"/>
                <w:b w:val="1"/>
                <w:bCs w:val="1"/>
                <w:color w:val="auto"/>
              </w:rPr>
              <w:t>Three months ended 3/31/2021</w:t>
            </w: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rPr>
              <w:t>Consolidated T.</w:t>
            </w: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rPr>
              <w:t>Consolidated T.</w:t>
            </w: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rPr>
              <w:t>Rowe Price</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rPr>
              <w:t>Rowe Price</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2"/>
                <w:szCs w:val="12"/>
                <w:color w:val="auto"/>
              </w:rPr>
            </w:pPr>
          </w:p>
        </w:tc>
        <w:tc>
          <w:tcPr>
            <w:tcW w:w="13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Total currency</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2"/>
                <w:szCs w:val="12"/>
                <w:color w:val="auto"/>
              </w:rPr>
            </w:pPr>
          </w:p>
        </w:tc>
        <w:tc>
          <w:tcPr>
            <w:tcW w:w="114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rPr>
              <w:t>Total currency</w:t>
            </w:r>
          </w:p>
        </w:tc>
        <w:tc>
          <w:tcPr>
            <w:tcW w:w="0" w:type="dxa"/>
            <w:vAlign w:val="bottom"/>
          </w:tcPr>
          <w:p>
            <w:pPr>
              <w:spacing w:after="0"/>
              <w:rPr>
                <w:sz w:val="1"/>
                <w:szCs w:val="1"/>
                <w:color w:val="auto"/>
              </w:rPr>
            </w:pPr>
          </w:p>
        </w:tc>
      </w:tr>
      <w:tr>
        <w:trPr>
          <w:trHeight w:val="144"/>
        </w:trPr>
        <w:tc>
          <w:tcPr>
            <w:tcW w:w="3220" w:type="dxa"/>
            <w:vAlign w:val="bottom"/>
          </w:tcPr>
          <w:p>
            <w:pPr>
              <w:spacing w:after="0"/>
              <w:rPr>
                <w:sz w:val="12"/>
                <w:szCs w:val="12"/>
                <w:color w:val="auto"/>
              </w:rPr>
            </w:pP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Equity method</w:t>
            </w: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rPr>
              <w:t>products -</w:t>
            </w: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Equity method</w:t>
            </w: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rPr>
              <w:t>products -</w:t>
            </w: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280" w:type="dxa"/>
            <w:vAlign w:val="bottom"/>
            <w:gridSpan w:val="3"/>
            <w:vMerge w:val="continue"/>
          </w:tcPr>
          <w:p>
            <w:pPr>
              <w:spacing w:after="0"/>
              <w:rPr>
                <w:sz w:val="12"/>
                <w:szCs w:val="12"/>
                <w:color w:val="auto"/>
              </w:rPr>
            </w:pPr>
          </w:p>
        </w:tc>
        <w:tc>
          <w:tcPr>
            <w:tcW w:w="13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variable interest</w:t>
            </w:r>
          </w:p>
        </w:tc>
        <w:tc>
          <w:tcPr>
            <w:tcW w:w="12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translation</w:t>
            </w:r>
          </w:p>
        </w:tc>
        <w:tc>
          <w:tcPr>
            <w:tcW w:w="1280" w:type="dxa"/>
            <w:vAlign w:val="bottom"/>
            <w:gridSpan w:val="3"/>
            <w:vMerge w:val="continue"/>
          </w:tcPr>
          <w:p>
            <w:pPr>
              <w:spacing w:after="0"/>
              <w:rPr>
                <w:sz w:val="12"/>
                <w:szCs w:val="12"/>
                <w:color w:val="auto"/>
              </w:rPr>
            </w:pPr>
          </w:p>
        </w:tc>
        <w:tc>
          <w:tcPr>
            <w:tcW w:w="13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variable interest</w:t>
            </w:r>
          </w:p>
        </w:tc>
        <w:tc>
          <w:tcPr>
            <w:tcW w:w="120" w:type="dxa"/>
            <w:vAlign w:val="bottom"/>
          </w:tcPr>
          <w:p>
            <w:pPr>
              <w:spacing w:after="0"/>
              <w:rPr>
                <w:sz w:val="12"/>
                <w:szCs w:val="12"/>
                <w:color w:val="auto"/>
              </w:rPr>
            </w:pPr>
          </w:p>
        </w:tc>
        <w:tc>
          <w:tcPr>
            <w:tcW w:w="11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rPr>
              <w:t>translation</w:t>
            </w:r>
          </w:p>
        </w:tc>
        <w:tc>
          <w:tcPr>
            <w:tcW w:w="0" w:type="dxa"/>
            <w:vAlign w:val="bottom"/>
          </w:tcPr>
          <w:p>
            <w:pPr>
              <w:spacing w:after="0"/>
              <w:rPr>
                <w:sz w:val="1"/>
                <w:szCs w:val="1"/>
                <w:color w:val="auto"/>
              </w:rPr>
            </w:pPr>
          </w:p>
        </w:tc>
      </w:tr>
      <w:tr>
        <w:trPr>
          <w:trHeight w:val="189"/>
        </w:trPr>
        <w:tc>
          <w:tcPr>
            <w:tcW w:w="32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investments</w:t>
            </w: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1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investments</w:t>
            </w: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120" w:type="dxa"/>
            <w:vAlign w:val="bottom"/>
          </w:tcPr>
          <w:p>
            <w:pPr>
              <w:spacing w:after="0"/>
              <w:rPr>
                <w:sz w:val="16"/>
                <w:szCs w:val="16"/>
                <w:color w:val="auto"/>
              </w:rPr>
            </w:pPr>
          </w:p>
        </w:tc>
        <w:tc>
          <w:tcPr>
            <w:tcW w:w="1140" w:type="dxa"/>
            <w:vAlign w:val="bottom"/>
          </w:tcPr>
          <w:p>
            <w:pPr>
              <w:jc w:val="center"/>
              <w:ind w:right="62"/>
              <w:spacing w:after="0"/>
              <w:rPr>
                <w:sz w:val="20"/>
                <w:szCs w:val="20"/>
                <w:color w:val="auto"/>
              </w:rPr>
            </w:pPr>
            <w:r>
              <w:rPr>
                <w:rFonts w:ascii="Arial" w:cs="Arial" w:eastAsia="Arial" w:hAnsi="Arial"/>
                <w:sz w:val="14"/>
                <w:szCs w:val="14"/>
                <w:b w:val="1"/>
                <w:bCs w:val="1"/>
                <w:color w:val="auto"/>
              </w:rPr>
              <w:t>adjustments</w:t>
            </w:r>
          </w:p>
        </w:tc>
        <w:tc>
          <w:tcPr>
            <w:tcW w:w="0" w:type="dxa"/>
            <w:vAlign w:val="bottom"/>
          </w:tcPr>
          <w:p>
            <w:pPr>
              <w:spacing w:after="0"/>
              <w:rPr>
                <w:sz w:val="1"/>
                <w:szCs w:val="1"/>
                <w:color w:val="auto"/>
              </w:rPr>
            </w:pPr>
          </w:p>
        </w:tc>
      </w:tr>
      <w:tr>
        <w:trPr>
          <w:trHeight w:val="209"/>
        </w:trPr>
        <w:tc>
          <w:tcPr>
            <w:tcW w:w="3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beginning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142"/>
        </w:trPr>
        <w:tc>
          <w:tcPr>
            <w:tcW w:w="3220" w:type="dxa"/>
            <w:vAlign w:val="bottom"/>
          </w:tcPr>
          <w:p>
            <w:pPr>
              <w:ind w:left="20"/>
              <w:spacing w:after="0" w:line="142" w:lineRule="exact"/>
              <w:rPr>
                <w:sz w:val="20"/>
                <w:szCs w:val="20"/>
                <w:color w:val="auto"/>
              </w:rPr>
            </w:pPr>
            <w:r>
              <w:rPr>
                <w:rFonts w:ascii="Arial" w:cs="Arial" w:eastAsia="Arial" w:hAnsi="Arial"/>
                <w:sz w:val="16"/>
                <w:szCs w:val="16"/>
                <w:color w:val="auto"/>
              </w:rPr>
              <w:t>Other comprehensive income (loss) before</w:t>
            </w:r>
          </w:p>
        </w:tc>
        <w:tc>
          <w:tcPr>
            <w:tcW w:w="140" w:type="dxa"/>
            <w:vAlign w:val="bottom"/>
          </w:tcPr>
          <w:p>
            <w:pPr>
              <w:spacing w:after="0"/>
              <w:rPr>
                <w:sz w:val="12"/>
                <w:szCs w:val="12"/>
                <w:color w:val="auto"/>
              </w:rPr>
            </w:pPr>
          </w:p>
        </w:tc>
        <w:tc>
          <w:tcPr>
            <w:tcW w:w="1040" w:type="dxa"/>
            <w:vAlign w:val="bottom"/>
            <w:vMerge w:val="restart"/>
          </w:tcPr>
          <w:p>
            <w:pPr>
              <w:jc w:val="right"/>
              <w:ind w:right="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(5.1)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5"/>
        </w:trPr>
        <w:tc>
          <w:tcPr>
            <w:tcW w:w="3220" w:type="dxa"/>
            <w:vAlign w:val="bottom"/>
          </w:tcPr>
          <w:p>
            <w:pPr>
              <w:ind w:left="20"/>
              <w:spacing w:after="0"/>
              <w:rPr>
                <w:sz w:val="20"/>
                <w:szCs w:val="20"/>
                <w:color w:val="auto"/>
              </w:rPr>
            </w:pPr>
            <w:r>
              <w:rPr>
                <w:rFonts w:ascii="Arial" w:cs="Arial" w:eastAsia="Arial" w:hAnsi="Arial"/>
                <w:sz w:val="16"/>
                <w:szCs w:val="16"/>
                <w:color w:val="auto"/>
              </w:rPr>
              <w:t>reclassifications and income taxes</w:t>
            </w: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22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Reclassification adjustments recognized in</w:t>
            </w:r>
          </w:p>
        </w:tc>
        <w:tc>
          <w:tcPr>
            <w:tcW w:w="14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14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7"/>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deferred tax benefits (income taxes)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9"/>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 (loss)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35"/>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The other comprehensive income (loss) in the table above excludes losses of $9.9 million and income of $11.8 million of other comprehensive income related to redeemable non-controlling interests held in our consolidated products for the three months ended March 31, 2022 and 2021,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COMMITMENTS.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 Rowe Price has committed $499.1 million to fund OHA products over the next five years.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CONTINGENCIES.</w:t>
      </w:r>
    </w:p>
    <w:p>
      <w:pPr>
        <w:spacing w:after="0" w:line="23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On February 14, 2017, T. Rowe Price Group, Inc., T. Rowe Price Associates, Inc., T. Rowe Price Trust Company, current and former members of the management committee, and trustees of the T. Rowe Price U.S. Retirement Program were named as defendants in a lawsuit filed in the United States District Court for the District of Maryland. The lawsuit alleges breaches of ERISA’s fiduciary duty and prohibited transaction provisions on behalf of a class of all participants and beneficiaries of the T. Rowe Price 401(k) Plan from February 14, 2011, to the time of judgment. The matter has been certified as a class action. The parties reached a settlement agreement, and, on January 18, 2022, the Court provided preliminary approval of the proposed settlement and set a fairness hearing for May 24, 2022. The proposed settlement would not be material to T. Rowe Price Group, Inc.</w:t>
      </w:r>
    </w:p>
    <w:p>
      <w:pPr>
        <w:spacing w:after="0" w:line="212" w:lineRule="exact"/>
        <w:rPr>
          <w:sz w:val="20"/>
          <w:szCs w:val="20"/>
          <w:color w:val="auto"/>
        </w:rPr>
      </w:pPr>
    </w:p>
    <w:p>
      <w:pPr>
        <w:ind w:right="220"/>
        <w:spacing w:after="0" w:line="251" w:lineRule="auto"/>
        <w:rPr>
          <w:sz w:val="20"/>
          <w:szCs w:val="20"/>
          <w:color w:val="auto"/>
        </w:rPr>
      </w:pPr>
      <w:r>
        <w:rPr>
          <w:rFonts w:ascii="Arial" w:cs="Arial" w:eastAsia="Arial" w:hAnsi="Arial"/>
          <w:sz w:val="17"/>
          <w:szCs w:val="17"/>
          <w:color w:val="auto"/>
        </w:rPr>
        <w:t>In addition to the matter discussed above, various claims against us arise in the ordinary course of business, including employment-related claims. In the opinion of management, after consultation with counsel, the likelihood of an adverse determination in one or more of these</w:t>
      </w:r>
    </w:p>
    <w:p>
      <w:pPr>
        <w:spacing w:after="0" w:line="1" w:lineRule="exact"/>
        <w:rPr>
          <w:sz w:val="20"/>
          <w:szCs w:val="20"/>
          <w:color w:val="auto"/>
        </w:rPr>
      </w:pPr>
    </w:p>
    <w:p>
      <w:pPr>
        <w:ind w:right="460"/>
        <w:spacing w:after="0" w:line="250" w:lineRule="auto"/>
        <w:rPr>
          <w:sz w:val="20"/>
          <w:szCs w:val="20"/>
          <w:color w:val="auto"/>
        </w:rPr>
      </w:pPr>
      <w:r>
        <w:rPr>
          <w:rFonts w:ascii="Arial" w:cs="Arial" w:eastAsia="Arial" w:hAnsi="Arial"/>
          <w:sz w:val="18"/>
          <w:szCs w:val="18"/>
          <w:color w:val="auto"/>
        </w:rPr>
        <w:t>pending ordinary course of business claims that would have a material adverse effect on our financial position or results of operations is remote.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Review of Interim Financial Information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We have reviewed the condensed consolidated balance sheet of T. Rowe Price Group, Inc. and subsidiaries (the “Company") as of</w:t>
      </w:r>
    </w:p>
    <w:p>
      <w:pPr>
        <w:spacing w:after="0" w:line="2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March 31, 2022, the related condensed consolidated statements of income, comprehensive income, stockholders’ equity, and cash flows for the three-month periods ended March 31, 2022 and 2021, and the related notes (collectively, the consolidated interim financial information). Based on our reviews, we are not aware of any material modifications that should be made to the consolidated interim financial information for it to be in conformity with U.S. generally accepted accounting principles.</w:t>
      </w:r>
    </w:p>
    <w:p>
      <w:pPr>
        <w:spacing w:after="0" w:line="14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December 31, 2021, and the related consolidated statements of income, comprehensive income, stockholders’ equity, and cash flows for the year then ended (not presented herein); and in our report dated February 24, 2022, we expressed an unqualified opinion on those consolidated financial statements. In our opinion, the information set forth in the accompanying condensed consolidated balance sheet as of December 31, 2021, is fairly stated, in all material respects, in relation to the consolidated balance sheet from which it has been derived.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Review Results</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conducted our reviews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OVERVIEW.</w:t>
      </w:r>
    </w:p>
    <w:p>
      <w:pPr>
        <w:spacing w:after="0" w:line="25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U.S. mutual funds, subadvised funds, separately managed accounts, collective investment trusts, and other affiliated products. The other affiliated products include: open-ended investment products offered to investors outside the U.S., products offered through variable annuity life insurance plans in the U.S., affiliated private investment funds or private accounts, and collateralized loan obligations.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non-discretionary advisory services through model delivery. Additionally, we also derive revenue from our interests in general partners of certain affiliated private investment funds that are entitled to a disproportionate allocation of income through capital allocation-based arrangements.</w:t>
      </w:r>
    </w:p>
    <w:p>
      <w:pPr>
        <w:spacing w:after="0" w:line="20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manage a broad range of U.S., international and global stock, bond, and money market mutual funds and collective investment trusts and other investment products,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w:t>
      </w:r>
    </w:p>
    <w:p>
      <w:pPr>
        <w:spacing w:after="0" w:line="20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incur significant expenditures to develop new products and services and improve and expand our capabilities and distribution channels in order to attract new investment advisory clients and additional investments from our existing clients. These efforts often involve costs that precede any future revenues that we may recognize from an increase to our assets under management.</w:t>
      </w:r>
    </w:p>
    <w:p>
      <w:pPr>
        <w:spacing w:after="0" w:line="19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general trend to passive investing has been persistent and accelerated in recent years, which has negatively impacted our new client inflows. However, over the long term we expect well-executed active management to play an important role for investors. In this regard, we have ample liquidity and resources that allow us to take advantage of attractive growth opportunities. We are investing in key capabilities, including investment professionals, distribution professionals, technologies, and new product offerings in order to provide our clients with strong investment management expertise and service.</w:t>
      </w:r>
    </w:p>
    <w:p>
      <w:pPr>
        <w:spacing w:after="0" w:line="20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December 29, 2021, we completed our acquisition of Oak Hill Advisors, L.P., a leading alternative credit manager, and other entities that had common ownership (collectively, OHA). We acquired 100% of the equity interests of Oak Hill Advisors, L.P., 100% of the equity interests in entities that make co-investments in certain affiliated private investment funds (the "co -investment entities") and a majority of the equity interests in entities that have interests in general partners of affiliated private investment funds and are entitled to a disproportionate allocation of income (the "carried interest entities"). As of March 31, 2022, OHA had $57 billion of capital under management (which includes net assets value, portfolio value and/or unfunded capital).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 TRENDS.</w:t>
      </w:r>
    </w:p>
    <w:p>
      <w:pPr>
        <w:spacing w:after="0" w:line="237"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color w:val="auto"/>
        </w:rPr>
        <w:t>Many global equity markets declined in the first quarter of 2022. In fact, the U.S. stock market experienced its worst quarter since the pandemic began about two years ago. Stocks fell as Russia invaded Ukraine in late February, prompting the U.S. and many other nations, especially in Europe, to respond with broad and damaging economic sanctions targeting a number of key Russian individuals and institutions. Equities were also hurt by elevated inflation—exacerbated by a sharp increase in commodity prices—as well as the onset of Federal Reserve interest rate increases and expectations for the Federal Reserve to pursue an aggressive pace of monetary tightening.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Developed Asian and Far East markets were mostly lower in U.S. dollar terms, but Australian stocks bucked the negative trend with a 7%</w:t>
      </w:r>
    </w:p>
    <w:p>
      <w:pPr>
        <w:spacing w:after="0" w:line="14"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gain, helped by local currency strength versus the U.S. dollar. In Europe, most markets declined in dollar terms, as local losses were exacerbated by a weak euro and British pound. Equities in energy producer Norway, however, rose more than 10%. Stocks in Portugal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UK rose about 2%.</w:t>
      </w:r>
    </w:p>
    <w:p>
      <w:pPr>
        <w:spacing w:after="0" w:line="221"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In emerging Asia, markets were mixed in U.S. dollar terms, but Chinese shares skidded 14%. Emerging European markets were widely mixed, but Latin American markets produced excellent returns in dollar terms, as the resource-rich region benefited from higher commodity prices. Gulf Cooperation Council markets in the Middle East were buoyed by higher global oil prices.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Returns of several major equity market indexes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w:t>
            </w:r>
          </w:p>
        </w:tc>
      </w:tr>
      <w:tr>
        <w:trPr>
          <w:trHeight w:val="202"/>
        </w:trPr>
        <w:tc>
          <w:tcPr>
            <w:tcW w:w="8260" w:type="dxa"/>
            <w:vAlign w:val="bottom"/>
            <w:gridSpan w:val="2"/>
          </w:tcPr>
          <w:p>
            <w:pPr>
              <w:ind w:left="20"/>
              <w:spacing w:after="0"/>
              <w:rPr>
                <w:sz w:val="20"/>
                <w:szCs w:val="20"/>
                <w:color w:val="auto"/>
              </w:rPr>
            </w:pPr>
            <w:r>
              <w:rPr>
                <w:rFonts w:ascii="Arial" w:cs="Arial" w:eastAsia="Arial" w:hAnsi="Arial"/>
                <w:sz w:val="14"/>
                <w:szCs w:val="14"/>
                <w:b w:val="1"/>
                <w:bCs w:val="1"/>
                <w:color w:val="auto"/>
              </w:rPr>
              <w:t>Index</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3/31/2022</w:t>
            </w:r>
          </w:p>
        </w:tc>
      </w:tr>
      <w:tr>
        <w:trPr>
          <w:trHeight w:val="224"/>
        </w:trPr>
        <w:tc>
          <w:tcPr>
            <w:tcW w:w="8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S&amp;P 500 Index</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(4.6)%</w:t>
            </w:r>
          </w:p>
        </w:tc>
      </w:tr>
      <w:tr>
        <w:trPr>
          <w:trHeight w:val="230"/>
        </w:trPr>
        <w:tc>
          <w:tcPr>
            <w:tcW w:w="8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NASDAQ Composite Index</w:t>
            </w:r>
            <w:r>
              <w:rPr>
                <w:rFonts w:ascii="Arial" w:cs="Arial" w:eastAsia="Arial" w:hAnsi="Arial"/>
                <w:sz w:val="23"/>
                <w:szCs w:val="23"/>
                <w:color w:val="auto"/>
                <w:vertAlign w:val="superscript"/>
              </w:rPr>
              <w:t>(1)</w:t>
            </w:r>
          </w:p>
        </w:tc>
        <w:tc>
          <w:tcPr>
            <w:tcW w:w="1460" w:type="dxa"/>
            <w:vAlign w:val="bottom"/>
          </w:tcPr>
          <w:p>
            <w:pPr>
              <w:jc w:val="center"/>
              <w:spacing w:after="0"/>
              <w:rPr>
                <w:sz w:val="20"/>
                <w:szCs w:val="20"/>
                <w:color w:val="auto"/>
              </w:rPr>
            </w:pPr>
            <w:r>
              <w:rPr>
                <w:rFonts w:ascii="Arial" w:cs="Arial" w:eastAsia="Arial" w:hAnsi="Arial"/>
                <w:sz w:val="18"/>
                <w:szCs w:val="18"/>
                <w:color w:val="auto"/>
              </w:rPr>
              <w:t>(9.1)%</w:t>
            </w: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Russell 2000 Index</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(7.5)%</w:t>
            </w: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MSCI EAFE (Europe, Australasia, and Far East) Index</w:t>
            </w:r>
          </w:p>
        </w:tc>
        <w:tc>
          <w:tcPr>
            <w:tcW w:w="1460" w:type="dxa"/>
            <w:vAlign w:val="bottom"/>
          </w:tcPr>
          <w:p>
            <w:pPr>
              <w:jc w:val="center"/>
              <w:spacing w:after="0"/>
              <w:rPr>
                <w:sz w:val="20"/>
                <w:szCs w:val="20"/>
                <w:color w:val="auto"/>
              </w:rPr>
            </w:pPr>
            <w:r>
              <w:rPr>
                <w:rFonts w:ascii="Arial" w:cs="Arial" w:eastAsia="Arial" w:hAnsi="Arial"/>
                <w:sz w:val="18"/>
                <w:szCs w:val="18"/>
                <w:color w:val="auto"/>
              </w:rPr>
              <w:t>(5.8)%</w:t>
            </w: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MSCI Emerging Markets Index</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(6.9)%</w:t>
            </w:r>
          </w:p>
        </w:tc>
      </w:tr>
    </w:tbl>
    <w:p>
      <w:pPr>
        <w:spacing w:after="0" w:line="87" w:lineRule="exact"/>
        <w:rPr>
          <w:sz w:val="20"/>
          <w:szCs w:val="20"/>
          <w:color w:val="auto"/>
        </w:rPr>
      </w:pPr>
    </w:p>
    <w:p>
      <w:pPr>
        <w:ind w:left="180" w:hanging="132"/>
        <w:spacing w:after="0"/>
        <w:tabs>
          <w:tab w:leader="none" w:pos="180" w:val="left"/>
        </w:tabs>
        <w:numPr>
          <w:ilvl w:val="0"/>
          <w:numId w:val="7"/>
        </w:numPr>
        <w:rPr>
          <w:rFonts w:ascii="Arial" w:cs="Arial" w:eastAsia="Arial" w:hAnsi="Arial"/>
          <w:sz w:val="16"/>
          <w:szCs w:val="16"/>
          <w:color w:val="auto"/>
          <w:vertAlign w:val="superscript"/>
        </w:rPr>
      </w:pPr>
      <w:r>
        <w:rPr>
          <w:rFonts w:ascii="Arial" w:cs="Arial" w:eastAsia="Arial" w:hAnsi="Arial"/>
          <w:sz w:val="12"/>
          <w:szCs w:val="12"/>
          <w:i w:val="1"/>
          <w:iCs w:val="1"/>
          <w:color w:val="auto"/>
        </w:rPr>
        <w:t>Returns exclude dividends</w:t>
      </w:r>
    </w:p>
    <w:p>
      <w:pPr>
        <w:spacing w:after="0" w:line="1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Global bonds produced mostly negative returns in U.S. dollar terms, as the U.S. Federal Reserve began to raise short-term interest rates and Treasury yields—especially short- and intermediate-term yields—rose in anticipation of tighter monetary policy in response to elevated inflation. The 10-year U.S. Treasury note yield rose from 1.52% to 2.32%.</w:t>
      </w:r>
    </w:p>
    <w:p>
      <w:pPr>
        <w:spacing w:after="0" w:line="1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the taxable investment-grade universe, long-term Treasury and corporate bonds fared worst. Mortgage-backed and commercial mortgage-backed securities also declined materially. Asset-backed securities held up best. Tax-free municipal bonds fared slightly worse than the taxable bond market. High yield corporate bonds declined due to risk aversion.</w:t>
      </w:r>
    </w:p>
    <w:p>
      <w:pPr>
        <w:spacing w:after="0" w:line="196"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Bonds in developed non-U.S. markets produced negative returns in U.S. dollar terms, as government bond yields in various markets rose amid concerns about inflation and the potential for tighter central bank monetary policies this year. A stronger U.S. dollar reduced overseas bond returns in dollar terms.</w:t>
      </w:r>
    </w:p>
    <w:p>
      <w:pPr>
        <w:spacing w:after="0" w:line="1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Emerging markets bonds slumped as investors shunned riskier investments, but local currency issues held up better than dollar-denominated emerging markets debt. Currencies in several Latin American countries appreciated strongly versus the U.S. dollar, but many other currencies depreciated.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Returns for several major bond market indexes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w:t>
            </w:r>
          </w:p>
        </w:tc>
      </w:tr>
      <w:tr>
        <w:trPr>
          <w:trHeight w:val="202"/>
        </w:trPr>
        <w:tc>
          <w:tcPr>
            <w:tcW w:w="8260" w:type="dxa"/>
            <w:vAlign w:val="bottom"/>
            <w:gridSpan w:val="2"/>
          </w:tcPr>
          <w:p>
            <w:pPr>
              <w:ind w:left="20"/>
              <w:spacing w:after="0"/>
              <w:rPr>
                <w:sz w:val="20"/>
                <w:szCs w:val="20"/>
                <w:color w:val="auto"/>
              </w:rPr>
            </w:pPr>
            <w:r>
              <w:rPr>
                <w:rFonts w:ascii="Arial" w:cs="Arial" w:eastAsia="Arial" w:hAnsi="Arial"/>
                <w:sz w:val="14"/>
                <w:szCs w:val="14"/>
                <w:b w:val="1"/>
                <w:bCs w:val="1"/>
                <w:color w:val="auto"/>
              </w:rPr>
              <w:t>Index</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3/31/2022</w:t>
            </w:r>
          </w:p>
        </w:tc>
      </w:tr>
      <w:tr>
        <w:trPr>
          <w:trHeight w:val="224"/>
        </w:trPr>
        <w:tc>
          <w:tcPr>
            <w:tcW w:w="8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Bloomberg U.S. Aggregate Bond Index</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(5.9)%</w:t>
            </w: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JPMorgan Global High Yield Index</w:t>
            </w:r>
          </w:p>
        </w:tc>
        <w:tc>
          <w:tcPr>
            <w:tcW w:w="1460" w:type="dxa"/>
            <w:vAlign w:val="bottom"/>
          </w:tcPr>
          <w:p>
            <w:pPr>
              <w:jc w:val="center"/>
              <w:spacing w:after="0"/>
              <w:rPr>
                <w:sz w:val="20"/>
                <w:szCs w:val="20"/>
                <w:color w:val="auto"/>
              </w:rPr>
            </w:pPr>
            <w:r>
              <w:rPr>
                <w:rFonts w:ascii="Arial" w:cs="Arial" w:eastAsia="Arial" w:hAnsi="Arial"/>
                <w:sz w:val="18"/>
                <w:szCs w:val="18"/>
                <w:color w:val="auto"/>
              </w:rPr>
              <w:t>(4.5)%</w:t>
            </w: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Bloomberg Municipal Bond Index</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(6.2)%</w:t>
            </w: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Bloomberg Global Aggregate Ex-U.S. Dollar Bond Index</w:t>
            </w:r>
          </w:p>
        </w:tc>
        <w:tc>
          <w:tcPr>
            <w:tcW w:w="1460" w:type="dxa"/>
            <w:vAlign w:val="bottom"/>
          </w:tcPr>
          <w:p>
            <w:pPr>
              <w:jc w:val="center"/>
              <w:spacing w:after="0"/>
              <w:rPr>
                <w:sz w:val="20"/>
                <w:szCs w:val="20"/>
                <w:color w:val="auto"/>
              </w:rPr>
            </w:pPr>
            <w:r>
              <w:rPr>
                <w:rFonts w:ascii="Arial" w:cs="Arial" w:eastAsia="Arial" w:hAnsi="Arial"/>
                <w:sz w:val="18"/>
                <w:szCs w:val="18"/>
                <w:color w:val="auto"/>
              </w:rPr>
              <w:t>(6.2)%</w:t>
            </w: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JPMorgan Emerging Markets Bond Index Plus</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u w:val="single" w:color="auto"/>
          <w:color w:val="auto"/>
        </w:rPr>
        <w:t>ASSETS UNDER MANAGEMENT</w:t>
      </w:r>
      <w:r>
        <w:rPr>
          <w:rFonts w:ascii="Arial" w:cs="Arial" w:eastAsia="Arial" w:hAnsi="Arial"/>
          <w:sz w:val="23"/>
          <w:szCs w:val="23"/>
          <w:b w:val="1"/>
          <w:bCs w:val="1"/>
          <w:i w:val="1"/>
          <w:iCs w:val="1"/>
          <w:u w:val="single" w:color="auto"/>
          <w:color w:val="auto"/>
          <w:vertAlign w:val="superscript"/>
        </w:rPr>
        <w:t>(1)</w:t>
      </w:r>
      <w:r>
        <w:rPr>
          <w:rFonts w:ascii="Arial" w:cs="Arial" w:eastAsia="Arial" w:hAnsi="Arial"/>
          <w:sz w:val="18"/>
          <w:szCs w:val="18"/>
          <w:b w:val="1"/>
          <w:bCs w:val="1"/>
          <w:i w:val="1"/>
          <w:iCs w:val="1"/>
          <w:u w:val="single" w:color="auto"/>
          <w:color w:val="auto"/>
        </w:rPr>
        <w:t>.</w:t>
      </w:r>
    </w:p>
    <w:p>
      <w:pPr>
        <w:spacing w:after="0" w:line="19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Assets under management ended the first quarter of 2022 at $1,551.8 billion, a decrease of $136.0 billion from December 31, 2021. The decrease in assets under management was driven by net cash outflows of $5.3 billion and market depreciation, including distributions not reinvested, of $130.7 billion. Clients transferred $4.1 billion in net assets from the U.S. mutual funds primarily to collective investment trusts and other investment products, of which $3.3 billion transferred into the retirement date trusts.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detail changes in our assets under management, by vehicle and asset class, during the first quarter of 2022:</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300" w:type="dxa"/>
            <w:vAlign w:val="bottom"/>
            <w:tcBorders>
              <w:bottom w:val="single" w:sz="8" w:color="auto"/>
            </w:tcBorders>
            <w:gridSpan w:val="9"/>
            <w:shd w:val="clear" w:color="auto" w:fill="CCEEFF"/>
          </w:tcPr>
          <w:p>
            <w:pPr>
              <w:ind w:left="160"/>
              <w:spacing w:after="0"/>
              <w:rPr>
                <w:sz w:val="20"/>
                <w:szCs w:val="20"/>
                <w:color w:val="auto"/>
              </w:rPr>
            </w:pPr>
            <w:r>
              <w:rPr>
                <w:rFonts w:ascii="Arial" w:cs="Arial" w:eastAsia="Arial" w:hAnsi="Arial"/>
                <w:sz w:val="14"/>
                <w:szCs w:val="14"/>
                <w:b w:val="1"/>
                <w:bCs w:val="1"/>
                <w:color w:val="auto"/>
              </w:rPr>
              <w:t>Three months ended 3/31/2022</w:t>
            </w: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rPr>
              <w:t>Subadvised</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rPr>
              <w:t>Collective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5"/>
            <w:vMerge w:val="continue"/>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gridSpan w:val="5"/>
          </w:tcPr>
          <w:p>
            <w:pPr>
              <w:jc w:val="center"/>
              <w:ind w:right="120"/>
              <w:spacing w:after="0" w:line="135" w:lineRule="exact"/>
              <w:rPr>
                <w:sz w:val="20"/>
                <w:szCs w:val="20"/>
                <w:color w:val="auto"/>
              </w:rPr>
            </w:pPr>
            <w:r>
              <w:rPr>
                <w:rFonts w:ascii="Arial" w:cs="Arial" w:eastAsia="Arial" w:hAnsi="Arial"/>
                <w:sz w:val="14"/>
                <w:szCs w:val="14"/>
                <w:b w:val="1"/>
                <w:bCs w:val="1"/>
                <w:color w:val="auto"/>
              </w:rPr>
              <w:t>investment trusts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gridSpan w:val="5"/>
            <w:vMerge w:val="restart"/>
          </w:tcPr>
          <w:p>
            <w:pPr>
              <w:jc w:val="center"/>
              <w:ind w:right="120"/>
              <w:spacing w:after="0"/>
              <w:rPr>
                <w:sz w:val="20"/>
                <w:szCs w:val="20"/>
                <w:color w:val="auto"/>
              </w:rPr>
            </w:pPr>
            <w:r>
              <w:rPr>
                <w:rFonts w:ascii="Arial" w:cs="Arial" w:eastAsia="Arial" w:hAnsi="Arial"/>
                <w:sz w:val="14"/>
                <w:szCs w:val="14"/>
                <w:b w:val="1"/>
                <w:bCs w:val="1"/>
                <w:color w:val="auto"/>
              </w:rPr>
              <w:t>U.S. mutual</w:t>
            </w:r>
          </w:p>
        </w:tc>
        <w:tc>
          <w:tcPr>
            <w:tcW w:w="120" w:type="dxa"/>
            <w:vAlign w:val="bottom"/>
          </w:tcPr>
          <w:p>
            <w:pPr>
              <w:spacing w:after="0"/>
              <w:rPr>
                <w:sz w:val="12"/>
                <w:szCs w:val="12"/>
                <w:color w:val="auto"/>
              </w:rPr>
            </w:pPr>
          </w:p>
        </w:tc>
        <w:tc>
          <w:tcPr>
            <w:tcW w:w="104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rPr>
              <w:t>funds and</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and other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20" w:type="dxa"/>
            <w:vAlign w:val="bottom"/>
            <w:vMerge w:val="restart"/>
          </w:tcPr>
          <w:p>
            <w:pPr>
              <w:ind w:left="20"/>
              <w:spacing w:after="0"/>
              <w:rPr>
                <w:sz w:val="20"/>
                <w:szCs w:val="20"/>
                <w:color w:val="auto"/>
              </w:rPr>
            </w:pPr>
            <w:r>
              <w:rPr>
                <w:rFonts w:ascii="Arial" w:cs="Arial" w:eastAsia="Arial" w:hAnsi="Arial"/>
                <w:sz w:val="14"/>
                <w:szCs w:val="14"/>
                <w:color w:val="auto"/>
              </w:rPr>
              <w:t>(in billions)</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left="42"/>
              <w:spacing w:after="0" w:line="149" w:lineRule="exact"/>
              <w:rPr>
                <w:sz w:val="20"/>
                <w:szCs w:val="20"/>
                <w:color w:val="auto"/>
              </w:rPr>
            </w:pPr>
            <w:r>
              <w:rPr>
                <w:rFonts w:ascii="Arial" w:cs="Arial" w:eastAsia="Arial" w:hAnsi="Arial"/>
                <w:sz w:val="14"/>
                <w:szCs w:val="14"/>
                <w:b w:val="1"/>
                <w:bCs w:val="1"/>
                <w:color w:val="auto"/>
              </w:rPr>
              <w:t>separate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investment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funds</w:t>
            </w:r>
          </w:p>
        </w:tc>
        <w:tc>
          <w:tcPr>
            <w:tcW w:w="120" w:type="dxa"/>
            <w:vAlign w:val="bottom"/>
          </w:tcPr>
          <w:p>
            <w:pPr>
              <w:spacing w:after="0"/>
              <w:rPr>
                <w:sz w:val="16"/>
                <w:szCs w:val="16"/>
                <w:color w:val="auto"/>
              </w:rPr>
            </w:pPr>
          </w:p>
        </w:tc>
        <w:tc>
          <w:tcPr>
            <w:tcW w:w="760" w:type="dxa"/>
            <w:vAlign w:val="bottom"/>
          </w:tcPr>
          <w:p>
            <w:pPr>
              <w:jc w:val="center"/>
              <w:ind w:left="42"/>
              <w:spacing w:after="0"/>
              <w:rPr>
                <w:sz w:val="20"/>
                <w:szCs w:val="20"/>
                <w:color w:val="auto"/>
              </w:rPr>
            </w:pPr>
            <w:r>
              <w:rPr>
                <w:rFonts w:ascii="Arial" w:cs="Arial" w:eastAsia="Arial" w:hAnsi="Arial"/>
                <w:sz w:val="14"/>
                <w:szCs w:val="14"/>
                <w:b w:val="1"/>
                <w:bCs w:val="1"/>
                <w:color w:val="auto"/>
              </w:rPr>
              <w:t>accounts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products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under management at beginning of period</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24"/>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gridSpan w:val="3"/>
            <w:shd w:val="clear" w:color="auto" w:fill="CCEEFF"/>
          </w:tcPr>
          <w:p>
            <w:pPr>
              <w:jc w:val="center"/>
              <w:spacing w:after="0"/>
              <w:rPr>
                <w:sz w:val="20"/>
                <w:szCs w:val="20"/>
                <w:color w:val="auto"/>
              </w:rPr>
            </w:pPr>
            <w:r>
              <w:rPr>
                <w:rFonts w:ascii="Arial" w:cs="Arial" w:eastAsia="Arial" w:hAnsi="Arial"/>
                <w:sz w:val="16"/>
                <w:szCs w:val="16"/>
                <w:color w:val="auto"/>
              </w:rPr>
              <w:t>871.4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437.1</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379.3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1,687.8</w:t>
            </w:r>
          </w:p>
        </w:tc>
        <w:tc>
          <w:tcPr>
            <w:tcW w:w="0" w:type="dxa"/>
            <w:vAlign w:val="bottom"/>
          </w:tcPr>
          <w:p>
            <w:pPr>
              <w:spacing w:after="0"/>
              <w:rPr>
                <w:sz w:val="1"/>
                <w:szCs w:val="1"/>
                <w:color w:val="auto"/>
              </w:rPr>
            </w:pPr>
          </w:p>
        </w:tc>
      </w:tr>
      <w:tr>
        <w:trPr>
          <w:trHeight w:val="89"/>
        </w:trPr>
        <w:tc>
          <w:tcPr>
            <w:tcW w:w="4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flows before client transfers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5"/>
        </w:trPr>
        <w:tc>
          <w:tcPr>
            <w:tcW w:w="4920" w:type="dxa"/>
            <w:vAlign w:val="bottom"/>
          </w:tcPr>
          <w:p>
            <w:pPr>
              <w:ind w:left="20"/>
              <w:spacing w:after="0"/>
              <w:rPr>
                <w:sz w:val="20"/>
                <w:szCs w:val="20"/>
                <w:color w:val="auto"/>
              </w:rPr>
            </w:pPr>
            <w:r>
              <w:rPr>
                <w:rFonts w:ascii="Arial" w:cs="Arial" w:eastAsia="Arial" w:hAnsi="Arial"/>
                <w:sz w:val="16"/>
                <w:szCs w:val="16"/>
                <w:color w:val="auto"/>
              </w:rPr>
              <w:t>Client transfers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gridSpan w:val="4"/>
          </w:tcPr>
          <w:p>
            <w:pPr>
              <w:jc w:val="right"/>
              <w:ind w:right="120"/>
              <w:spacing w:after="0"/>
              <w:rPr>
                <w:sz w:val="20"/>
                <w:szCs w:val="20"/>
                <w:color w:val="auto"/>
              </w:rPr>
            </w:pPr>
            <w:r>
              <w:rPr>
                <w:rFonts w:ascii="Arial" w:cs="Arial" w:eastAsia="Arial" w:hAnsi="Arial"/>
                <w:sz w:val="16"/>
                <w:szCs w:val="16"/>
                <w:color w:val="auto"/>
                <w:w w:val="87"/>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flows after client transfers</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5"/>
        </w:trPr>
        <w:tc>
          <w:tcPr>
            <w:tcW w:w="4920" w:type="dxa"/>
            <w:vAlign w:val="bottom"/>
          </w:tcPr>
          <w:p>
            <w:pPr>
              <w:ind w:left="20"/>
              <w:spacing w:after="0"/>
              <w:rPr>
                <w:sz w:val="20"/>
                <w:szCs w:val="20"/>
                <w:color w:val="auto"/>
              </w:rPr>
            </w:pPr>
            <w:r>
              <w:rPr>
                <w:rFonts w:ascii="Arial" w:cs="Arial" w:eastAsia="Arial" w:hAnsi="Arial"/>
                <w:sz w:val="16"/>
                <w:szCs w:val="16"/>
                <w:color w:val="auto"/>
              </w:rPr>
              <w:t>Net market depreciation and losses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6"/>
                <w:szCs w:val="16"/>
                <w:color w:val="auto"/>
              </w:rPr>
              <w:t>(71.8)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Arial" w:cs="Arial" w:eastAsia="Arial" w:hAnsi="Arial"/>
                <w:sz w:val="16"/>
                <w:szCs w:val="16"/>
                <w:color w:val="auto"/>
              </w:rPr>
              <w:t>(34.6)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3"/>
          </w:tcPr>
          <w:p>
            <w:pPr>
              <w:ind w:left="600"/>
              <w:spacing w:after="0"/>
              <w:rPr>
                <w:sz w:val="20"/>
                <w:szCs w:val="20"/>
                <w:color w:val="auto"/>
              </w:rPr>
            </w:pPr>
            <w:r>
              <w:rPr>
                <w:rFonts w:ascii="Arial" w:cs="Arial" w:eastAsia="Arial" w:hAnsi="Arial"/>
                <w:sz w:val="16"/>
                <w:szCs w:val="16"/>
                <w:color w:val="auto"/>
              </w:rPr>
              <w:t>(23.9)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(130.3)</w:t>
            </w:r>
          </w:p>
        </w:tc>
        <w:tc>
          <w:tcPr>
            <w:tcW w:w="0" w:type="dxa"/>
            <w:vAlign w:val="bottom"/>
          </w:tcPr>
          <w:p>
            <w:pPr>
              <w:spacing w:after="0"/>
              <w:rPr>
                <w:sz w:val="1"/>
                <w:szCs w:val="1"/>
                <w:color w:val="auto"/>
              </w:rPr>
            </w:pPr>
          </w:p>
        </w:tc>
      </w:tr>
      <w:tr>
        <w:trPr>
          <w:trHeight w:val="217"/>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distributions not reinvested</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w w:val="87"/>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9"/>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during the period</w:t>
            </w:r>
          </w:p>
        </w:tc>
        <w:tc>
          <w:tcPr>
            <w:tcW w:w="16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rPr>
              <w:t>(82.0)</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6"/>
                <w:szCs w:val="16"/>
                <w:color w:val="auto"/>
              </w:rPr>
              <w:t>(39.1)</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3"/>
          </w:tcPr>
          <w:p>
            <w:pPr>
              <w:ind w:left="600"/>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(136.0)</w:t>
            </w:r>
          </w:p>
        </w:tc>
        <w:tc>
          <w:tcPr>
            <w:tcW w:w="0" w:type="dxa"/>
            <w:vAlign w:val="bottom"/>
          </w:tcPr>
          <w:p>
            <w:pPr>
              <w:spacing w:after="0"/>
              <w:rPr>
                <w:sz w:val="1"/>
                <w:szCs w:val="1"/>
                <w:color w:val="auto"/>
              </w:rPr>
            </w:pPr>
          </w:p>
        </w:tc>
      </w:tr>
      <w:tr>
        <w:trPr>
          <w:trHeight w:val="89"/>
        </w:trPr>
        <w:tc>
          <w:tcPr>
            <w:tcW w:w="49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Arial" w:cs="Arial" w:eastAsia="Arial" w:hAnsi="Arial"/>
                <w:sz w:val="16"/>
                <w:szCs w:val="16"/>
                <w:color w:val="auto"/>
              </w:rPr>
              <w:t>Assets under management at March 31, 2022</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Borders>
              <w:bottom w:val="single" w:sz="8" w:color="auto"/>
            </w:tcBorders>
          </w:tcPr>
          <w:p>
            <w:pPr>
              <w:jc w:val="right"/>
              <w:ind w:right="224"/>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789.4</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398.0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364.4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1,551.8</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4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gridSpan w:val="4"/>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9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2460" w:type="dxa"/>
            <w:vAlign w:val="bottom"/>
            <w:tcBorders>
              <w:bottom w:val="single" w:sz="8" w:color="auto"/>
            </w:tcBorders>
            <w:gridSpan w:val="13"/>
            <w:shd w:val="clear" w:color="auto" w:fill="CCEEFF"/>
          </w:tcPr>
          <w:p>
            <w:pPr>
              <w:jc w:val="right"/>
              <w:spacing w:after="0"/>
              <w:rPr>
                <w:sz w:val="20"/>
                <w:szCs w:val="20"/>
                <w:color w:val="auto"/>
              </w:rPr>
            </w:pPr>
            <w:r>
              <w:rPr>
                <w:rFonts w:ascii="Arial" w:cs="Arial" w:eastAsia="Arial" w:hAnsi="Arial"/>
                <w:sz w:val="14"/>
                <w:szCs w:val="14"/>
                <w:b w:val="1"/>
                <w:bCs w:val="1"/>
                <w:color w:val="auto"/>
              </w:rPr>
              <w:t>Three months ended 3/31/2022</w:t>
            </w:r>
          </w:p>
        </w:tc>
        <w:tc>
          <w:tcPr>
            <w:tcW w:w="8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spacing w:after="0" w:line="147" w:lineRule="exact"/>
              <w:rPr>
                <w:sz w:val="20"/>
                <w:szCs w:val="20"/>
                <w:color w:val="auto"/>
              </w:rPr>
            </w:pPr>
            <w:r>
              <w:rPr>
                <w:rFonts w:ascii="Arial" w:cs="Arial" w:eastAsia="Arial" w:hAnsi="Arial"/>
                <w:sz w:val="14"/>
                <w:szCs w:val="14"/>
                <w:b w:val="1"/>
                <w:bCs w:val="1"/>
                <w:color w:val="auto"/>
              </w:rPr>
              <w:t>Fixed income,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920" w:type="dxa"/>
            <w:vAlign w:val="bottom"/>
            <w:vMerge w:val="restart"/>
          </w:tcPr>
          <w:p>
            <w:pPr>
              <w:ind w:left="20"/>
              <w:spacing w:after="0"/>
              <w:rPr>
                <w:sz w:val="20"/>
                <w:szCs w:val="20"/>
                <w:color w:val="auto"/>
              </w:rPr>
            </w:pPr>
            <w:r>
              <w:rPr>
                <w:rFonts w:ascii="Arial" w:cs="Arial" w:eastAsia="Arial" w:hAnsi="Arial"/>
                <w:sz w:val="14"/>
                <w:szCs w:val="14"/>
                <w:color w:val="auto"/>
              </w:rPr>
              <w:t>(in billions)</w:t>
            </w:r>
          </w:p>
        </w:tc>
        <w:tc>
          <w:tcPr>
            <w:tcW w:w="160" w:type="dxa"/>
            <w:vAlign w:val="bottom"/>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Equity</w:t>
            </w:r>
          </w:p>
        </w:tc>
        <w:tc>
          <w:tcPr>
            <w:tcW w:w="180" w:type="dxa"/>
            <w:vAlign w:val="bottom"/>
          </w:tcPr>
          <w:p>
            <w:pPr>
              <w:spacing w:after="0"/>
              <w:rPr>
                <w:sz w:val="12"/>
                <w:szCs w:val="12"/>
                <w:color w:val="auto"/>
              </w:rPr>
            </w:pPr>
          </w:p>
        </w:tc>
        <w:tc>
          <w:tcPr>
            <w:tcW w:w="920" w:type="dxa"/>
            <w:vAlign w:val="bottom"/>
            <w:gridSpan w:val="2"/>
          </w:tcPr>
          <w:p>
            <w:pPr>
              <w:jc w:val="center"/>
              <w:ind w:right="84"/>
              <w:spacing w:after="0" w:line="145" w:lineRule="exact"/>
              <w:rPr>
                <w:sz w:val="20"/>
                <w:szCs w:val="20"/>
                <w:color w:val="auto"/>
              </w:rPr>
            </w:pPr>
            <w:r>
              <w:rPr>
                <w:rFonts w:ascii="Arial" w:cs="Arial" w:eastAsia="Arial" w:hAnsi="Arial"/>
                <w:sz w:val="14"/>
                <w:szCs w:val="14"/>
                <w:b w:val="1"/>
                <w:bCs w:val="1"/>
                <w:color w:val="auto"/>
              </w:rPr>
              <w:t>including</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4"/>
            <w:vMerge w:val="restart"/>
          </w:tcPr>
          <w:p>
            <w:pPr>
              <w:jc w:val="right"/>
              <w:ind w:right="142"/>
              <w:spacing w:after="0"/>
              <w:rPr>
                <w:sz w:val="20"/>
                <w:szCs w:val="20"/>
                <w:color w:val="auto"/>
              </w:rPr>
            </w:pPr>
            <w:r>
              <w:rPr>
                <w:rFonts w:ascii="Arial" w:cs="Arial" w:eastAsia="Arial" w:hAnsi="Arial"/>
                <w:sz w:val="14"/>
                <w:szCs w:val="14"/>
                <w:b w:val="1"/>
                <w:bCs w:val="1"/>
                <w:color w:val="auto"/>
              </w:rPr>
              <w:t>Multi-asset</w:t>
            </w:r>
            <w:r>
              <w:rPr>
                <w:rFonts w:ascii="Arial" w:cs="Arial" w:eastAsia="Arial" w:hAnsi="Arial"/>
                <w:sz w:val="18"/>
                <w:szCs w:val="18"/>
                <w:b w:val="1"/>
                <w:bCs w:val="1"/>
                <w:color w:val="auto"/>
                <w:vertAlign w:val="superscript"/>
              </w:rPr>
              <w:t>(2)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Alternatives</w:t>
            </w:r>
            <w:r>
              <w:rPr>
                <w:rFonts w:ascii="Arial" w:cs="Arial" w:eastAsia="Arial" w:hAnsi="Arial"/>
                <w:sz w:val="18"/>
                <w:szCs w:val="18"/>
                <w:b w:val="1"/>
                <w:bCs w:val="1"/>
                <w:color w:val="auto"/>
                <w:vertAlign w:val="superscript"/>
              </w:rPr>
              <w:t>(3)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rPr>
              <w:t>money market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under management at beginning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992.7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175.7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center"/>
              <w:ind w:right="142"/>
              <w:spacing w:after="0"/>
              <w:rPr>
                <w:sz w:val="20"/>
                <w:szCs w:val="20"/>
                <w:color w:val="auto"/>
              </w:rPr>
            </w:pPr>
            <w:r>
              <w:rPr>
                <w:rFonts w:ascii="Arial" w:cs="Arial" w:eastAsia="Arial" w:hAnsi="Arial"/>
                <w:sz w:val="16"/>
                <w:szCs w:val="16"/>
                <w:color w:val="auto"/>
                <w:w w:val="89"/>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4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Net market depreciation and losses</w:t>
            </w:r>
            <w:r>
              <w:rPr>
                <w:rFonts w:ascii="Arial" w:cs="Arial" w:eastAsia="Arial" w:hAnsi="Arial"/>
                <w:sz w:val="21"/>
                <w:szCs w:val="21"/>
                <w:color w:val="auto"/>
                <w:vertAlign w:val="superscript"/>
              </w:rPr>
              <w:t>(4)</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(5.8)</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w w:val="99"/>
              </w:rPr>
              <w:t>(.3)</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during the period</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tcPr>
          <w:p>
            <w:pPr>
              <w:ind w:left="20"/>
              <w:spacing w:after="0"/>
              <w:rPr>
                <w:sz w:val="20"/>
                <w:szCs w:val="20"/>
                <w:color w:val="auto"/>
              </w:rPr>
            </w:pPr>
            <w:r>
              <w:rPr>
                <w:rFonts w:ascii="Arial" w:cs="Arial" w:eastAsia="Arial" w:hAnsi="Arial"/>
                <w:sz w:val="16"/>
                <w:szCs w:val="16"/>
                <w:color w:val="auto"/>
              </w:rPr>
              <w:t>Assets under management at March 31, 2022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878.0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175.2</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jc w:val="center"/>
              <w:ind w:right="142"/>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456.4</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w:t>
            </w:r>
          </w:p>
        </w:tc>
        <w:tc>
          <w:tcPr>
            <w:tcW w:w="12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w w:val="89"/>
              </w:rPr>
              <w:t>$</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9"/>
          <w:szCs w:val="19"/>
          <w:i w:val="1"/>
          <w:iCs w:val="1"/>
          <w:color w:val="auto"/>
          <w:vertAlign w:val="superscript"/>
        </w:rPr>
      </w:pPr>
      <w:r>
        <w:rPr>
          <w:rFonts w:ascii="Arial" w:cs="Arial" w:eastAsia="Arial" w:hAnsi="Arial"/>
          <w:sz w:val="13"/>
          <w:szCs w:val="13"/>
          <w:i w:val="1"/>
          <w:iCs w:val="1"/>
          <w:color w:val="auto"/>
        </w:rPr>
        <w:t>Includes fee basis assets under management.</w:t>
      </w:r>
    </w:p>
    <w:p>
      <w:pPr>
        <w:ind w:left="240" w:hanging="232"/>
        <w:spacing w:after="0" w:line="200" w:lineRule="auto"/>
        <w:tabs>
          <w:tab w:leader="none" w:pos="240" w:val="left"/>
        </w:tabs>
        <w:numPr>
          <w:ilvl w:val="0"/>
          <w:numId w:val="8"/>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underlying assets under management of the multi-asset portfolios have been aggregated and presented in this category and not reported in the equity and fixed income columns.</w:t>
      </w:r>
    </w:p>
    <w:p>
      <w:pPr>
        <w:spacing w:after="0" w:line="22" w:lineRule="exact"/>
        <w:rPr>
          <w:rFonts w:ascii="Arial" w:cs="Arial" w:eastAsia="Arial" w:hAnsi="Arial"/>
          <w:sz w:val="16"/>
          <w:szCs w:val="16"/>
          <w:i w:val="1"/>
          <w:iCs w:val="1"/>
          <w:color w:val="auto"/>
          <w:vertAlign w:val="superscript"/>
        </w:rPr>
      </w:pPr>
    </w:p>
    <w:p>
      <w:pPr>
        <w:ind w:left="180" w:right="360" w:hanging="172"/>
        <w:spacing w:after="0" w:line="229" w:lineRule="auto"/>
        <w:tabs>
          <w:tab w:leader="none" w:pos="157" w:val="left"/>
        </w:tabs>
        <w:numPr>
          <w:ilvl w:val="0"/>
          <w:numId w:val="8"/>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The alternatives asset class includes strategies authorized to invest more than 50% of its holdings in private credit, leveraged loans, mezzanine, real assets/CRE, structured products, stressed / distressed, non-investment grade CLOs, special situations, or have absolute return as its investment objective. Generally, only those strategies with longer than daily liquidity are included.</w:t>
      </w:r>
    </w:p>
    <w:p>
      <w:pPr>
        <w:ind w:left="240" w:hanging="232"/>
        <w:spacing w:after="0" w:line="200" w:lineRule="auto"/>
        <w:tabs>
          <w:tab w:leader="none" w:pos="240" w:val="left"/>
        </w:tabs>
        <w:numPr>
          <w:ilvl w:val="0"/>
          <w:numId w:val="8"/>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Includes distributions reinvested and not reinvested.</w:t>
      </w:r>
    </w:p>
    <w:p>
      <w:pPr>
        <w:spacing w:after="0" w:line="239"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Investment advisory clients outside the United States account for 9.7% of our assets under management at March 31, 2022 and 9.9% at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21" w:name="page22"/>
    <w:bookmarkEnd w:id="21"/>
    <w:p>
      <w:pPr>
        <w:ind w:right="160"/>
        <w:spacing w:after="0" w:line="287" w:lineRule="auto"/>
        <w:rPr>
          <w:sz w:val="20"/>
          <w:szCs w:val="20"/>
          <w:color w:val="auto"/>
        </w:rPr>
      </w:pPr>
      <w:r>
        <w:rPr>
          <w:rFonts w:ascii="Arial" w:cs="Arial" w:eastAsia="Arial" w:hAnsi="Arial"/>
          <w:sz w:val="18"/>
          <w:szCs w:val="18"/>
          <w:color w:val="auto"/>
        </w:rPr>
        <w:t>Our target date retirement products, which are included in the multi-asset totals shown above, continue to be a significant part of our assets under management. Assets under management in these portfolios, as well as net cash inflows (outflows), by vehicle, were as follows:</w:t>
      </w:r>
    </w:p>
    <w:p>
      <w:pPr>
        <w:spacing w:after="0" w:line="77" w:lineRule="exact"/>
        <w:rPr>
          <w:sz w:val="20"/>
          <w:szCs w:val="20"/>
          <w:color w:val="auto"/>
        </w:rPr>
      </w:pPr>
    </w:p>
    <w:tbl>
      <w:tblPr>
        <w:tblLayout w:type="fixed"/>
        <w:tblInd w:w="200" w:type="dxa"/>
        <w:tblCellMar>
          <w:top w:w="0" w:type="dxa"/>
          <w:left w:w="0" w:type="dxa"/>
          <w:bottom w:w="0" w:type="dxa"/>
          <w:right w:w="0" w:type="dxa"/>
        </w:tblCellMar>
      </w:tblPr>
      <w:tr>
        <w:trPr>
          <w:trHeight w:val="203"/>
        </w:trPr>
        <w:tc>
          <w:tcPr>
            <w:tcW w:w="5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180" w:type="dxa"/>
            <w:vAlign w:val="bottom"/>
            <w:tcBorders>
              <w:bottom w:val="single" w:sz="8" w:color="auto"/>
            </w:tcBorders>
            <w:gridSpan w:val="4"/>
            <w:shd w:val="clear" w:color="auto" w:fill="CCEEFF"/>
          </w:tcPr>
          <w:p>
            <w:pPr>
              <w:jc w:val="right"/>
              <w:ind w:right="161"/>
              <w:spacing w:after="0"/>
              <w:rPr>
                <w:sz w:val="20"/>
                <w:szCs w:val="20"/>
                <w:color w:val="auto"/>
              </w:rPr>
            </w:pPr>
            <w:r>
              <w:rPr>
                <w:rFonts w:ascii="Arial" w:cs="Arial" w:eastAsia="Arial" w:hAnsi="Arial"/>
                <w:sz w:val="14"/>
                <w:szCs w:val="14"/>
                <w:b w:val="1"/>
                <w:bCs w:val="1"/>
                <w:color w:val="auto"/>
              </w:rPr>
              <w:t>Net cash inflows (outflows)</w:t>
            </w:r>
          </w:p>
        </w:tc>
      </w:tr>
      <w:tr>
        <w:trPr>
          <w:trHeight w:val="195"/>
        </w:trPr>
        <w:tc>
          <w:tcPr>
            <w:tcW w:w="5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tcBorders>
              <w:right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Assets under management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gridSpan w:val="4"/>
          </w:tcPr>
          <w:p>
            <w:pPr>
              <w:jc w:val="right"/>
              <w:ind w:right="381"/>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(in billions)</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ind w:right="162"/>
              <w:spacing w:after="0"/>
              <w:rPr>
                <w:sz w:val="20"/>
                <w:szCs w:val="20"/>
                <w:color w:val="auto"/>
              </w:rPr>
            </w:pPr>
            <w:r>
              <w:rPr>
                <w:rFonts w:ascii="Arial" w:cs="Arial" w:eastAsia="Arial" w:hAnsi="Arial"/>
                <w:sz w:val="14"/>
                <w:szCs w:val="14"/>
                <w:b w:val="1"/>
                <w:bCs w:val="1"/>
                <w:color w:val="auto"/>
              </w:rPr>
              <w:t>3/31/2022</w:t>
            </w: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Arial" w:cs="Arial" w:eastAsia="Arial" w:hAnsi="Arial"/>
                <w:sz w:val="14"/>
                <w:szCs w:val="14"/>
                <w:b w:val="1"/>
                <w:bCs w:val="1"/>
                <w:color w:val="auto"/>
              </w:rPr>
              <w:t>12/31/2021</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ind w:right="183"/>
              <w:spacing w:after="0"/>
              <w:rPr>
                <w:sz w:val="20"/>
                <w:szCs w:val="20"/>
                <w:color w:val="auto"/>
              </w:rPr>
            </w:pPr>
            <w:r>
              <w:rPr>
                <w:rFonts w:ascii="Arial" w:cs="Arial" w:eastAsia="Arial" w:hAnsi="Arial"/>
                <w:sz w:val="14"/>
                <w:szCs w:val="14"/>
                <w:b w:val="1"/>
                <w:bCs w:val="1"/>
                <w:color w:val="auto"/>
              </w:rPr>
              <w:t>3/31/2022</w:t>
            </w: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Arial" w:cs="Arial" w:eastAsia="Arial" w:hAnsi="Arial"/>
                <w:sz w:val="14"/>
                <w:szCs w:val="14"/>
                <w:b w:val="1"/>
                <w:bCs w:val="1"/>
                <w:color w:val="auto"/>
              </w:rPr>
              <w:t>3/31/2021</w:t>
            </w:r>
          </w:p>
        </w:tc>
      </w:tr>
      <w:tr>
        <w:trPr>
          <w:trHeight w:val="210"/>
        </w:trPr>
        <w:tc>
          <w:tcPr>
            <w:tcW w:w="5960" w:type="dxa"/>
            <w:vAlign w:val="bottom"/>
          </w:tcPr>
          <w:p>
            <w:pPr>
              <w:spacing w:after="0"/>
              <w:rPr>
                <w:sz w:val="20"/>
                <w:szCs w:val="20"/>
                <w:color w:val="auto"/>
              </w:rPr>
            </w:pPr>
            <w:r>
              <w:rPr>
                <w:rFonts w:ascii="Arial" w:cs="Arial" w:eastAsia="Arial" w:hAnsi="Arial"/>
                <w:sz w:val="15"/>
                <w:szCs w:val="15"/>
                <w:color w:val="auto"/>
              </w:rPr>
              <w:t>U.S. mutual funds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174.4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187.1</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17"/>
        </w:trPr>
        <w:tc>
          <w:tcPr>
            <w:tcW w:w="5960" w:type="dxa"/>
            <w:vAlign w:val="bottom"/>
            <w:shd w:val="clear" w:color="auto" w:fill="CCEEFF"/>
          </w:tcPr>
          <w:p>
            <w:pPr>
              <w:spacing w:after="0"/>
              <w:rPr>
                <w:sz w:val="20"/>
                <w:szCs w:val="20"/>
                <w:color w:val="auto"/>
              </w:rPr>
            </w:pPr>
            <w:r>
              <w:rPr>
                <w:rFonts w:ascii="Arial" w:cs="Arial" w:eastAsia="Arial" w:hAnsi="Arial"/>
                <w:sz w:val="15"/>
                <w:szCs w:val="15"/>
                <w:color w:val="auto"/>
              </w:rPr>
              <w:t>Collective investment trusts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191.1</w:t>
            </w: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8.1</w:t>
            </w:r>
          </w:p>
        </w:tc>
      </w:tr>
      <w:tr>
        <w:trPr>
          <w:trHeight w:val="215"/>
        </w:trPr>
        <w:tc>
          <w:tcPr>
            <w:tcW w:w="59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Subadvised and separately managed accounts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w:t>
            </w:r>
          </w:p>
        </w:tc>
      </w:tr>
      <w:tr>
        <w:trPr>
          <w:trHeight w:val="235"/>
        </w:trPr>
        <w:tc>
          <w:tcPr>
            <w:tcW w:w="59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375.2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391.1</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4.5</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also provide strategic investment advice solutions for certain portfolios. These advice solutions, which the vast majority is overseen by our multi-asset division, may include strategic asset allocation, and in certain portfolios, asset selection and/or tactical asset allocation overlays. We also offer advice solutions through retail separately managed accounts and separately managed accounts model delivery. As of March 31, 2022, total assets in these solutions were $466 billion, of which $459 billion are included in our reported assets under management in the tables above.</w:t>
      </w:r>
    </w:p>
    <w:p>
      <w:pPr>
        <w:spacing w:after="0" w:line="20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provide participant accounting and plan administration for defined contribution retirement plans that invest in the firm's U.S. mutual funds, collective investment trusts and funds outside of the firm's complex. As of March 31, 2022, our assets under administration were $256 billion, of which nearly $153 billion are assets we manage.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INVESTMENT PERFORMANCE</w:t>
      </w:r>
      <w:r>
        <w:rPr>
          <w:rFonts w:ascii="Arial" w:cs="Arial" w:eastAsia="Arial" w:hAnsi="Arial"/>
          <w:sz w:val="23"/>
          <w:szCs w:val="23"/>
          <w:b w:val="1"/>
          <w:bCs w:val="1"/>
          <w:i w:val="1"/>
          <w:iCs w:val="1"/>
          <w:color w:val="auto"/>
          <w:vertAlign w:val="superscript"/>
        </w:rPr>
        <w:t>(1)</w:t>
      </w:r>
      <w:r>
        <w:rPr>
          <w:rFonts w:ascii="Arial" w:cs="Arial" w:eastAsia="Arial" w:hAnsi="Arial"/>
          <w:sz w:val="18"/>
          <w:szCs w:val="18"/>
          <w:b w:val="1"/>
          <w:bCs w:val="1"/>
          <w:i w:val="1"/>
          <w:iCs w:val="1"/>
          <w:u w:val="single" w:color="auto"/>
          <w:color w:val="auto"/>
        </w:rPr>
        <w:t>.</w:t>
      </w:r>
    </w:p>
    <w:p>
      <w:pPr>
        <w:spacing w:after="0" w:line="19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i w:val="1"/>
          <w:iCs w:val="1"/>
          <w:color w:val="auto"/>
        </w:rPr>
        <w:t>S</w:t>
      </w:r>
      <w:r>
        <w:rPr>
          <w:rFonts w:ascii="Arial" w:cs="Arial" w:eastAsia="Arial" w:hAnsi="Arial"/>
          <w:sz w:val="18"/>
          <w:szCs w:val="18"/>
          <w:color w:val="auto"/>
        </w:rPr>
        <w:t>trong investment performance and brand awareness is a key driver to attracting and retaining assets—and to our long-term success. Our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disclosures include specific asset classes, assets under management weighted performance, mutual fund performance against passive peers and composite performance against benchmarks. The following tables present investment performance for the one-, three-, five-, and 10-years ended March 31, 2022. Past performance is no guarantee of future results.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8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 of U.S. mutual funds that outperformed Morningstar median</w:t>
            </w:r>
            <w:r>
              <w:rPr>
                <w:rFonts w:ascii="Arial" w:cs="Arial" w:eastAsia="Arial" w:hAnsi="Arial"/>
                <w:sz w:val="21"/>
                <w:szCs w:val="21"/>
                <w:b w:val="1"/>
                <w:bCs w:val="1"/>
                <w:color w:val="auto"/>
                <w:vertAlign w:val="superscript"/>
              </w:rPr>
              <w:t>(2),(3)</w:t>
            </w:r>
          </w:p>
        </w:tc>
        <w:tc>
          <w:tcPr>
            <w:tcW w:w="1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r>
      <w:tr>
        <w:trPr>
          <w:trHeight w:val="215"/>
        </w:trPr>
        <w:tc>
          <w:tcPr>
            <w:tcW w:w="394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39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Equity</w:t>
            </w: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41%</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60%</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64%</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85%</w:t>
            </w:r>
          </w:p>
        </w:tc>
      </w:tr>
      <w:tr>
        <w:trPr>
          <w:trHeight w:val="215"/>
        </w:trPr>
        <w:tc>
          <w:tcPr>
            <w:tcW w:w="3940" w:type="dxa"/>
            <w:vAlign w:val="bottom"/>
          </w:tcPr>
          <w:p>
            <w:pPr>
              <w:ind w:left="240"/>
              <w:spacing w:after="0"/>
              <w:rPr>
                <w:sz w:val="20"/>
                <w:szCs w:val="20"/>
                <w:color w:val="auto"/>
              </w:rPr>
            </w:pPr>
            <w:r>
              <w:rPr>
                <w:rFonts w:ascii="Arial" w:cs="Arial" w:eastAsia="Arial" w:hAnsi="Arial"/>
                <w:sz w:val="16"/>
                <w:szCs w:val="16"/>
                <w:color w:val="auto"/>
              </w:rPr>
              <w:t>Fixed Income</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63%</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71%</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62%</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63%</w:t>
            </w:r>
          </w:p>
        </w:tc>
      </w:tr>
      <w:tr>
        <w:trPr>
          <w:trHeight w:val="217"/>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Multi-Asset</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37%</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81%</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79%</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90%</w:t>
            </w:r>
          </w:p>
        </w:tc>
      </w:tr>
      <w:tr>
        <w:trPr>
          <w:trHeight w:val="215"/>
        </w:trPr>
        <w:tc>
          <w:tcPr>
            <w:tcW w:w="3940" w:type="dxa"/>
            <w:vAlign w:val="bottom"/>
          </w:tcPr>
          <w:p>
            <w:pPr>
              <w:ind w:left="240"/>
              <w:spacing w:after="0"/>
              <w:rPr>
                <w:sz w:val="20"/>
                <w:szCs w:val="20"/>
                <w:color w:val="auto"/>
              </w:rPr>
            </w:pPr>
            <w:r>
              <w:rPr>
                <w:rFonts w:ascii="Arial" w:cs="Arial" w:eastAsia="Arial" w:hAnsi="Arial"/>
                <w:sz w:val="16"/>
                <w:szCs w:val="16"/>
                <w:color w:val="auto"/>
              </w:rPr>
              <w:t>All Funds</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47%</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69%</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68%</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79%</w:t>
            </w:r>
          </w:p>
        </w:tc>
      </w:tr>
      <w:tr>
        <w:trPr>
          <w:trHeight w:val="109"/>
        </w:trPr>
        <w:tc>
          <w:tcPr>
            <w:tcW w:w="5680" w:type="dxa"/>
            <w:vAlign w:val="bottom"/>
            <w:gridSpan w:val="2"/>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r>
      <w:tr>
        <w:trPr>
          <w:trHeight w:val="216"/>
        </w:trPr>
        <w:tc>
          <w:tcPr>
            <w:tcW w:w="5780" w:type="dxa"/>
            <w:vAlign w:val="bottom"/>
            <w:gridSpan w:val="3"/>
          </w:tcPr>
          <w:p>
            <w:pPr>
              <w:ind w:left="20"/>
              <w:spacing w:after="0" w:line="216" w:lineRule="exact"/>
              <w:rPr>
                <w:sz w:val="20"/>
                <w:szCs w:val="20"/>
                <w:color w:val="auto"/>
              </w:rPr>
            </w:pPr>
            <w:r>
              <w:rPr>
                <w:rFonts w:ascii="Arial" w:cs="Arial" w:eastAsia="Arial" w:hAnsi="Arial"/>
                <w:sz w:val="16"/>
                <w:szCs w:val="16"/>
                <w:b w:val="1"/>
                <w:bCs w:val="1"/>
                <w:color w:val="auto"/>
              </w:rPr>
              <w:t>% of U.S. mutual funds that outperformed passive peer median</w:t>
            </w:r>
            <w:r>
              <w:rPr>
                <w:rFonts w:ascii="Arial" w:cs="Arial" w:eastAsia="Arial" w:hAnsi="Arial"/>
                <w:sz w:val="21"/>
                <w:szCs w:val="21"/>
                <w:b w:val="1"/>
                <w:bCs w:val="1"/>
                <w:color w:val="auto"/>
                <w:vertAlign w:val="superscript"/>
              </w:rPr>
              <w:t>(2),(4)</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3940" w:type="dxa"/>
            <w:vAlign w:val="bottom"/>
          </w:tcPr>
          <w:p>
            <w:pPr>
              <w:ind w:left="240"/>
              <w:spacing w:after="0"/>
              <w:rPr>
                <w:sz w:val="20"/>
                <w:szCs w:val="20"/>
                <w:color w:val="auto"/>
              </w:rPr>
            </w:pPr>
            <w:r>
              <w:rPr>
                <w:rFonts w:ascii="Arial" w:cs="Arial" w:eastAsia="Arial" w:hAnsi="Arial"/>
                <w:sz w:val="16"/>
                <w:szCs w:val="16"/>
                <w:color w:val="auto"/>
              </w:rPr>
              <w:t>Equity</w:t>
            </w: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38%</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52%</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55%</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67%</w:t>
            </w:r>
          </w:p>
        </w:tc>
      </w:tr>
      <w:tr>
        <w:trPr>
          <w:trHeight w:val="217"/>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Fixed Income</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53%</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69%</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55%</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50%</w:t>
            </w:r>
          </w:p>
        </w:tc>
      </w:tr>
      <w:tr>
        <w:trPr>
          <w:trHeight w:val="215"/>
        </w:trPr>
        <w:tc>
          <w:tcPr>
            <w:tcW w:w="3940" w:type="dxa"/>
            <w:vAlign w:val="bottom"/>
          </w:tcPr>
          <w:p>
            <w:pPr>
              <w:ind w:left="240"/>
              <w:spacing w:after="0"/>
              <w:rPr>
                <w:sz w:val="20"/>
                <w:szCs w:val="20"/>
                <w:color w:val="auto"/>
              </w:rPr>
            </w:pPr>
            <w:r>
              <w:rPr>
                <w:rFonts w:ascii="Arial" w:cs="Arial" w:eastAsia="Arial" w:hAnsi="Arial"/>
                <w:sz w:val="16"/>
                <w:szCs w:val="16"/>
                <w:color w:val="auto"/>
              </w:rPr>
              <w:t>Multi-Asset</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31%</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76%</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68%</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69%</w:t>
            </w:r>
          </w:p>
        </w:tc>
      </w:tr>
      <w:tr>
        <w:trPr>
          <w:trHeight w:val="217"/>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All Funds</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40%</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64%</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59%</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63%</w:t>
            </w:r>
          </w:p>
        </w:tc>
      </w:tr>
      <w:tr>
        <w:trPr>
          <w:trHeight w:val="162"/>
        </w:trPr>
        <w:tc>
          <w:tcPr>
            <w:tcW w:w="3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216"/>
        </w:trPr>
        <w:tc>
          <w:tcPr>
            <w:tcW w:w="3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 of composites that outperformed benchmarks</w:t>
            </w:r>
            <w:r>
              <w:rPr>
                <w:rFonts w:ascii="Arial" w:cs="Arial" w:eastAsia="Arial" w:hAnsi="Arial"/>
                <w:sz w:val="21"/>
                <w:szCs w:val="21"/>
                <w:b w:val="1"/>
                <w:bCs w:val="1"/>
                <w:color w:val="auto"/>
                <w:vertAlign w:val="superscript"/>
              </w:rPr>
              <w:t>(5)</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5"/>
        </w:trPr>
        <w:tc>
          <w:tcPr>
            <w:tcW w:w="394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39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Equity</w:t>
            </w: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34%</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49%</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59%</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72%</w:t>
            </w:r>
          </w:p>
        </w:tc>
      </w:tr>
      <w:tr>
        <w:trPr>
          <w:trHeight w:val="215"/>
        </w:trPr>
        <w:tc>
          <w:tcPr>
            <w:tcW w:w="3940" w:type="dxa"/>
            <w:vAlign w:val="bottom"/>
          </w:tcPr>
          <w:p>
            <w:pPr>
              <w:ind w:left="240"/>
              <w:spacing w:after="0"/>
              <w:rPr>
                <w:sz w:val="20"/>
                <w:szCs w:val="20"/>
                <w:color w:val="auto"/>
              </w:rPr>
            </w:pPr>
            <w:r>
              <w:rPr>
                <w:rFonts w:ascii="Arial" w:cs="Arial" w:eastAsia="Arial" w:hAnsi="Arial"/>
                <w:sz w:val="16"/>
                <w:szCs w:val="16"/>
                <w:color w:val="auto"/>
              </w:rPr>
              <w:t>Fixed Income</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58%</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73%</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77%</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79%</w:t>
            </w:r>
          </w:p>
        </w:tc>
      </w:tr>
      <w:tr>
        <w:trPr>
          <w:trHeight w:val="217"/>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All Composites</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44%</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59%</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66%</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74%</w:t>
            </w:r>
          </w:p>
        </w:tc>
      </w:tr>
      <w:tr>
        <w:trPr>
          <w:trHeight w:val="148"/>
        </w:trPr>
        <w:tc>
          <w:tcPr>
            <w:tcW w:w="39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84"/>
        </w:trPr>
        <w:tc>
          <w:tcPr>
            <w:tcW w:w="20" w:type="dxa"/>
            <w:vAlign w:val="bottom"/>
            <w:shd w:val="clear" w:color="auto" w:fill="CCEEFF"/>
          </w:tcPr>
          <w:p>
            <w:pPr>
              <w:spacing w:after="0"/>
              <w:rPr>
                <w:sz w:val="16"/>
                <w:szCs w:val="16"/>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AUM Weighted Performance</w:t>
            </w: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auto"/>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tcPr>
          <w:p>
            <w:pPr>
              <w:spacing w:after="0" w:line="216" w:lineRule="exact"/>
              <w:rPr>
                <w:sz w:val="20"/>
                <w:szCs w:val="20"/>
                <w:color w:val="auto"/>
              </w:rPr>
            </w:pPr>
            <w:r>
              <w:rPr>
                <w:rFonts w:ascii="Arial" w:cs="Arial" w:eastAsia="Arial" w:hAnsi="Arial"/>
                <w:sz w:val="16"/>
                <w:szCs w:val="16"/>
                <w:b w:val="1"/>
                <w:bCs w:val="1"/>
                <w:color w:val="auto"/>
              </w:rPr>
              <w:t>% of U.S. mutual funds AUM that outperformed Morningstar median</w:t>
            </w:r>
            <w:r>
              <w:rPr>
                <w:rFonts w:ascii="Arial" w:cs="Arial" w:eastAsia="Arial" w:hAnsi="Arial"/>
                <w:sz w:val="21"/>
                <w:szCs w:val="21"/>
                <w:b w:val="1"/>
                <w:bCs w:val="1"/>
                <w:color w:val="auto"/>
                <w:vertAlign w:val="superscript"/>
              </w:rPr>
              <w:t>(2),(3)</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600"/>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3920" w:type="dxa"/>
            <w:vAlign w:val="bottom"/>
            <w:gridSpan w:val="2"/>
          </w:tcPr>
          <w:p>
            <w:pPr>
              <w:ind w:left="220"/>
              <w:spacing w:after="0"/>
              <w:rPr>
                <w:sz w:val="20"/>
                <w:szCs w:val="20"/>
                <w:color w:val="auto"/>
              </w:rPr>
            </w:pPr>
            <w:r>
              <w:rPr>
                <w:rFonts w:ascii="Arial" w:cs="Arial" w:eastAsia="Arial" w:hAnsi="Arial"/>
                <w:sz w:val="16"/>
                <w:szCs w:val="16"/>
                <w:color w:val="auto"/>
              </w:rPr>
              <w:t>Equity</w:t>
            </w:r>
          </w:p>
        </w:tc>
        <w:tc>
          <w:tcPr>
            <w:tcW w:w="5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center"/>
              <w:ind w:right="439"/>
              <w:spacing w:after="0"/>
              <w:rPr>
                <w:sz w:val="20"/>
                <w:szCs w:val="20"/>
                <w:color w:val="auto"/>
              </w:rPr>
            </w:pPr>
            <w:r>
              <w:rPr>
                <w:rFonts w:ascii="Arial" w:cs="Arial" w:eastAsia="Arial" w:hAnsi="Arial"/>
                <w:sz w:val="16"/>
                <w:szCs w:val="16"/>
                <w:color w:val="auto"/>
                <w:w w:val="99"/>
              </w:rPr>
              <w:t>46%</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47%</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76%</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92%</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75%</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81%</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68%</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80%</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37%</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95%</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96%</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97%</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46%</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63%</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81%</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92%</w:t>
            </w:r>
          </w:p>
        </w:tc>
      </w:tr>
      <w:tr>
        <w:trPr>
          <w:trHeight w:val="108"/>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74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spacing w:after="0"/>
              <w:rPr>
                <w:sz w:val="9"/>
                <w:szCs w:val="9"/>
                <w:color w:val="auto"/>
              </w:rPr>
            </w:pPr>
          </w:p>
        </w:tc>
      </w:tr>
      <w:tr>
        <w:trPr>
          <w:trHeight w:val="216"/>
        </w:trPr>
        <w:tc>
          <w:tcPr>
            <w:tcW w:w="20" w:type="dxa"/>
            <w:vAlign w:val="bottom"/>
            <w:shd w:val="clear" w:color="auto" w:fill="CCEEFF"/>
          </w:tcPr>
          <w:p>
            <w:pPr>
              <w:spacing w:after="0"/>
              <w:rPr>
                <w:sz w:val="18"/>
                <w:szCs w:val="18"/>
                <w:color w:val="auto"/>
              </w:rPr>
            </w:pPr>
          </w:p>
        </w:tc>
        <w:tc>
          <w:tcPr>
            <w:tcW w:w="5760" w:type="dxa"/>
            <w:vAlign w:val="bottom"/>
            <w:gridSpan w:val="5"/>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of U.S. mutual funds AUM that outperformed passive peer median</w:t>
            </w:r>
            <w:r>
              <w:rPr>
                <w:rFonts w:ascii="Arial" w:cs="Arial" w:eastAsia="Arial" w:hAnsi="Arial"/>
                <w:sz w:val="21"/>
                <w:szCs w:val="21"/>
                <w:b w:val="1"/>
                <w:bCs w:val="1"/>
                <w:color w:val="auto"/>
                <w:vertAlign w:val="superscript"/>
              </w:rPr>
              <w:t>(2),(4)</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gridSpan w:val="2"/>
          </w:tcPr>
          <w:p>
            <w:pPr>
              <w:jc w:val="center"/>
              <w:ind w:right="60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9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Equity</w:t>
            </w:r>
          </w:p>
        </w:tc>
        <w:tc>
          <w:tcPr>
            <w:tcW w:w="5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ind w:right="439"/>
              <w:spacing w:after="0"/>
              <w:rPr>
                <w:sz w:val="20"/>
                <w:szCs w:val="20"/>
                <w:color w:val="auto"/>
              </w:rPr>
            </w:pPr>
            <w:r>
              <w:rPr>
                <w:rFonts w:ascii="Arial" w:cs="Arial" w:eastAsia="Arial" w:hAnsi="Arial"/>
                <w:sz w:val="16"/>
                <w:szCs w:val="16"/>
                <w:color w:val="auto"/>
                <w:w w:val="99"/>
              </w:rPr>
              <w:t>43%</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46%</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57%</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59%</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69%</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71%</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63%</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48%</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27%</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96%</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95%</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92%</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40%</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61%</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67%</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67%</w:t>
            </w:r>
          </w:p>
        </w:tc>
      </w:tr>
      <w:tr>
        <w:trPr>
          <w:trHeight w:val="163"/>
        </w:trPr>
        <w:tc>
          <w:tcPr>
            <w:tcW w:w="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spacing w:after="0" w:line="216" w:lineRule="exact"/>
              <w:rPr>
                <w:sz w:val="20"/>
                <w:szCs w:val="20"/>
                <w:color w:val="auto"/>
              </w:rPr>
            </w:pPr>
            <w:r>
              <w:rPr>
                <w:rFonts w:ascii="Arial" w:cs="Arial" w:eastAsia="Arial" w:hAnsi="Arial"/>
                <w:sz w:val="16"/>
                <w:szCs w:val="16"/>
                <w:b w:val="1"/>
                <w:bCs w:val="1"/>
                <w:color w:val="auto"/>
              </w:rPr>
              <w:t>% of composites AUM that outperformed benchmarks</w:t>
            </w:r>
            <w:r>
              <w:rPr>
                <w:rFonts w:ascii="Arial" w:cs="Arial" w:eastAsia="Arial" w:hAnsi="Arial"/>
                <w:sz w:val="21"/>
                <w:szCs w:val="21"/>
                <w:b w:val="1"/>
                <w:bCs w:val="1"/>
                <w:color w:val="auto"/>
                <w:vertAlign w:val="superscript"/>
              </w:rPr>
              <w:t>(5)</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600"/>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3920" w:type="dxa"/>
            <w:vAlign w:val="bottom"/>
            <w:gridSpan w:val="2"/>
          </w:tcPr>
          <w:p>
            <w:pPr>
              <w:ind w:left="220"/>
              <w:spacing w:after="0"/>
              <w:rPr>
                <w:sz w:val="20"/>
                <w:szCs w:val="20"/>
                <w:color w:val="auto"/>
              </w:rPr>
            </w:pPr>
            <w:r>
              <w:rPr>
                <w:rFonts w:ascii="Arial" w:cs="Arial" w:eastAsia="Arial" w:hAnsi="Arial"/>
                <w:sz w:val="16"/>
                <w:szCs w:val="16"/>
                <w:color w:val="auto"/>
              </w:rPr>
              <w:t>Equity</w:t>
            </w:r>
          </w:p>
        </w:tc>
        <w:tc>
          <w:tcPr>
            <w:tcW w:w="5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center"/>
              <w:ind w:right="439"/>
              <w:spacing w:after="0"/>
              <w:rPr>
                <w:sz w:val="20"/>
                <w:szCs w:val="20"/>
                <w:color w:val="auto"/>
              </w:rPr>
            </w:pPr>
            <w:r>
              <w:rPr>
                <w:rFonts w:ascii="Arial" w:cs="Arial" w:eastAsia="Arial" w:hAnsi="Arial"/>
                <w:sz w:val="16"/>
                <w:szCs w:val="16"/>
                <w:color w:val="auto"/>
                <w:w w:val="99"/>
              </w:rPr>
              <w:t>38%</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38%</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61%</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76%</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63%</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80%</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75%</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74%</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All Composites</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42%</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45%</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63%</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76%</w:t>
            </w:r>
          </w:p>
        </w:tc>
      </w:tr>
    </w:tbl>
    <w:p>
      <w:pPr>
        <w:spacing w:after="0" w:line="91" w:lineRule="exact"/>
        <w:rPr>
          <w:sz w:val="20"/>
          <w:szCs w:val="20"/>
          <w:color w:val="auto"/>
        </w:rPr>
      </w:pPr>
    </w:p>
    <w:p>
      <w:pPr>
        <w:jc w:val="both"/>
        <w:ind w:right="160"/>
        <w:spacing w:after="0" w:line="237" w:lineRule="auto"/>
        <w:rPr>
          <w:sz w:val="20"/>
          <w:szCs w:val="20"/>
          <w:color w:val="auto"/>
        </w:rPr>
      </w:pPr>
      <w:r>
        <w:rPr>
          <w:rFonts w:ascii="Arial" w:cs="Arial" w:eastAsia="Arial" w:hAnsi="Arial"/>
          <w:sz w:val="18"/>
          <w:szCs w:val="18"/>
          <w:color w:val="auto"/>
        </w:rPr>
        <w:t>As of March 31, 2022, 69 of 124 (55.6%) of the firm's rated U.S. mutual funds (across primary share classes) received an overall rating of 4 or 5 stars. By comparison, 32.5% of Morningstar's fund population is given a rating of 4 or 5 stars</w:t>
      </w:r>
      <w:r>
        <w:rPr>
          <w:rFonts w:ascii="Arial" w:cs="Arial" w:eastAsia="Arial" w:hAnsi="Arial"/>
          <w:sz w:val="23"/>
          <w:szCs w:val="23"/>
          <w:color w:val="auto"/>
          <w:vertAlign w:val="superscript"/>
        </w:rPr>
        <w:t>(5)</w:t>
      </w:r>
      <w:r>
        <w:rPr>
          <w:rFonts w:ascii="Arial" w:cs="Arial" w:eastAsia="Arial" w:hAnsi="Arial"/>
          <w:sz w:val="18"/>
          <w:szCs w:val="18"/>
          <w:color w:val="auto"/>
        </w:rPr>
        <w:t>. In addition, 67%</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of AUM in the firm's rated U.S. mutual funds (across primary share classes) ended March 31, 2022 with an overall rating of 4 or 5 stars.</w:t>
      </w:r>
    </w:p>
    <w:p>
      <w:pPr>
        <w:spacing w:after="0" w:line="196" w:lineRule="exact"/>
        <w:rPr>
          <w:sz w:val="20"/>
          <w:szCs w:val="20"/>
          <w:color w:val="auto"/>
        </w:rPr>
      </w:pPr>
    </w:p>
    <w:p>
      <w:pPr>
        <w:ind w:left="140" w:hanging="132"/>
        <w:spacing w:after="0"/>
        <w:tabs>
          <w:tab w:leader="none" w:pos="140" w:val="left"/>
        </w:tabs>
        <w:numPr>
          <w:ilvl w:val="0"/>
          <w:numId w:val="9"/>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The investment performance reflects that of T. Rowe Price sponsored mutual funds and composites AUM and not of OHA’s products.</w:t>
      </w:r>
    </w:p>
    <w:p>
      <w:pPr>
        <w:ind w:left="140" w:hanging="132"/>
        <w:spacing w:after="0"/>
        <w:tabs>
          <w:tab w:leader="none" w:pos="140" w:val="left"/>
        </w:tabs>
        <w:numPr>
          <w:ilvl w:val="0"/>
          <w:numId w:val="9"/>
        </w:numPr>
        <w:rPr>
          <w:rFonts w:ascii="Arial" w:cs="Arial" w:eastAsia="Arial" w:hAnsi="Arial"/>
          <w:sz w:val="9"/>
          <w:szCs w:val="9"/>
          <w:i w:val="1"/>
          <w:iCs w:val="1"/>
          <w:color w:val="auto"/>
        </w:rPr>
      </w:pPr>
      <w:r>
        <w:rPr>
          <w:rFonts w:ascii="Arial" w:cs="Arial" w:eastAsia="Arial" w:hAnsi="Arial"/>
          <w:sz w:val="14"/>
          <w:szCs w:val="14"/>
          <w:i w:val="1"/>
          <w:iCs w:val="1"/>
          <w:color w:val="auto"/>
        </w:rPr>
        <w:t>Source: © 2022 Morningstar, Inc. All rights reserved. The information contained herein: 1) is proprietary to Morningstar and/or its content providers; 2) may not be copied or</w:t>
      </w:r>
    </w:p>
    <w:p>
      <w:pPr>
        <w:spacing w:after="0" w:line="1" w:lineRule="exact"/>
        <w:rPr>
          <w:sz w:val="20"/>
          <w:szCs w:val="20"/>
          <w:color w:val="auto"/>
        </w:rPr>
      </w:pPr>
    </w:p>
    <w:p>
      <w:pPr>
        <w:ind w:right="60"/>
        <w:spacing w:after="0" w:line="225" w:lineRule="auto"/>
        <w:rPr>
          <w:sz w:val="20"/>
          <w:szCs w:val="20"/>
          <w:color w:val="auto"/>
        </w:rPr>
      </w:pPr>
      <w:r>
        <w:rPr>
          <w:rFonts w:ascii="Arial" w:cs="Arial" w:eastAsia="Arial" w:hAnsi="Arial"/>
          <w:sz w:val="14"/>
          <w:szCs w:val="14"/>
          <w:i w:val="1"/>
          <w:iCs w:val="1"/>
          <w:color w:val="auto"/>
        </w:rPr>
        <w:t>distributed; and 3) is not warranted to be accurate, complete, or timely. Neither Morningstar nor its content providers are responsible for any damages or losses arising from any use of this information.</w:t>
      </w:r>
    </w:p>
    <w:p>
      <w:pPr>
        <w:ind w:right="60" w:firstLine="8"/>
        <w:spacing w:after="0" w:line="229" w:lineRule="auto"/>
        <w:tabs>
          <w:tab w:leader="none" w:pos="154" w:val="left"/>
        </w:tabs>
        <w:numPr>
          <w:ilvl w:val="0"/>
          <w:numId w:val="10"/>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Source: Morningstar. Primary share class only. Excludes money market mutual funds, funds with an operating history of less than one year, T. Rowe Price passive funds, and T. Rowe Price funds that are clones of other funds. The top chart reflects the percentage of T. Rowe Price funds with 1 year, 3 year, 5 year, and 10 year track record that are outperforming the Morningstar category median. The bottom chart reflects the percentage of T. Rowe Price funds AUM that has outperformed for the time periods indicated. Total AUM included for this analysis includes $394B for 1 year, $393B for 3 years, $393B for 5 years, and $386B for 10 years.</w:t>
      </w:r>
    </w:p>
    <w:p>
      <w:pPr>
        <w:spacing w:after="0" w:line="1" w:lineRule="exact"/>
        <w:rPr>
          <w:rFonts w:ascii="Arial" w:cs="Arial" w:eastAsia="Arial" w:hAnsi="Arial"/>
          <w:sz w:val="17"/>
          <w:szCs w:val="17"/>
          <w:i w:val="1"/>
          <w:iCs w:val="1"/>
          <w:color w:val="auto"/>
          <w:vertAlign w:val="superscript"/>
        </w:rPr>
      </w:pPr>
    </w:p>
    <w:p>
      <w:pPr>
        <w:ind w:right="60" w:firstLine="8"/>
        <w:spacing w:after="0" w:line="229" w:lineRule="auto"/>
        <w:tabs>
          <w:tab w:leader="none" w:pos="154" w:val="left"/>
        </w:tabs>
        <w:numPr>
          <w:ilvl w:val="0"/>
          <w:numId w:val="10"/>
        </w:numPr>
        <w:rPr>
          <w:rFonts w:ascii="Arial" w:cs="Arial" w:eastAsia="Arial" w:hAnsi="Arial"/>
          <w:sz w:val="9"/>
          <w:szCs w:val="9"/>
          <w:i w:val="1"/>
          <w:iCs w:val="1"/>
          <w:color w:val="auto"/>
        </w:rPr>
      </w:pPr>
      <w:r>
        <w:rPr>
          <w:rFonts w:ascii="Arial" w:cs="Arial" w:eastAsia="Arial" w:hAnsi="Arial"/>
          <w:sz w:val="14"/>
          <w:szCs w:val="14"/>
          <w:i w:val="1"/>
          <w:iCs w:val="1"/>
          <w:color w:val="auto"/>
        </w:rPr>
        <w:t>Passive Peer Median was created by T. Rowe Price using data from Morningstar. Primary share class only. Excludes money market mutual funds, funds with an operating history of less than one year, funds with fewer than three peers, T. Rowe Price passive funds, and T. Rowe Price funds that are clones of other funds. This analysis compares T. Rowe Price active funds to the applicable universe of passive/index open-end funds and ETFs of peer firms. The top chart reflects the percentage of T. Rowe Price funds with 1 year, 3 year, 5 year, and 10 year track record that are outperforming the passive peer universe. The bottom chart reflects the percentage of T. Rowe Price funds AUM that has outperformed for the time periods indicated. Total AUM included for this analysis includes $372B for 1 year, $370B for 3 years, $368B for 5 years, and $353B for 10 years.</w:t>
      </w:r>
    </w:p>
    <w:p>
      <w:pPr>
        <w:spacing w:after="0" w:line="1" w:lineRule="exact"/>
        <w:rPr>
          <w:rFonts w:ascii="Arial" w:cs="Arial" w:eastAsia="Arial" w:hAnsi="Arial"/>
          <w:sz w:val="9"/>
          <w:szCs w:val="9"/>
          <w:i w:val="1"/>
          <w:iCs w:val="1"/>
          <w:color w:val="auto"/>
        </w:rPr>
      </w:pPr>
    </w:p>
    <w:p>
      <w:pPr>
        <w:ind w:right="280"/>
        <w:spacing w:after="0" w:line="231" w:lineRule="auto"/>
        <w:rPr>
          <w:rFonts w:ascii="Arial" w:cs="Arial" w:eastAsia="Arial" w:hAnsi="Arial"/>
          <w:sz w:val="9"/>
          <w:szCs w:val="9"/>
          <w:i w:val="1"/>
          <w:iCs w:val="1"/>
          <w:color w:val="auto"/>
        </w:rPr>
      </w:pPr>
      <w:r>
        <w:rPr>
          <w:rFonts w:ascii="Arial" w:cs="Arial" w:eastAsia="Arial" w:hAnsi="Arial"/>
          <w:sz w:val="9"/>
          <w:szCs w:val="9"/>
          <w:i w:val="1"/>
          <w:iCs w:val="1"/>
          <w:color w:val="auto"/>
        </w:rPr>
        <w:t>(5)</w:t>
      </w:r>
      <w:r>
        <w:rPr>
          <w:rFonts w:ascii="Arial" w:cs="Arial" w:eastAsia="Arial" w:hAnsi="Arial"/>
          <w:sz w:val="14"/>
          <w:szCs w:val="14"/>
          <w:i w:val="1"/>
          <w:iCs w:val="1"/>
          <w:color w:val="auto"/>
        </w:rPr>
        <w:t>Composite net returns are calculated using the highest applicable separate account fee schedule. Excludes money market composites. All composites compared to official</w:t>
      </w:r>
      <w:r>
        <w:rPr>
          <w:rFonts w:ascii="Arial" w:cs="Arial" w:eastAsia="Arial" w:hAnsi="Arial"/>
          <w:sz w:val="9"/>
          <w:szCs w:val="9"/>
          <w:i w:val="1"/>
          <w:iCs w:val="1"/>
          <w:color w:val="auto"/>
        </w:rPr>
        <w:t xml:space="preserve"> </w:t>
      </w:r>
      <w:r>
        <w:rPr>
          <w:rFonts w:ascii="Arial" w:cs="Arial" w:eastAsia="Arial" w:hAnsi="Arial"/>
          <w:sz w:val="14"/>
          <w:szCs w:val="14"/>
          <w:i w:val="1"/>
          <w:iCs w:val="1"/>
          <w:color w:val="auto"/>
        </w:rPr>
        <w:t>GIPS composite primary benchmark. The top chart reflects the percentage of T. Rowe Price composites with 1 year, 3 year, 5 year, and 10 year track record that are outperforming their benchmarks. The bottom chart reflects the percentage of T. Rowe Price composite AUM that has outperformed for the time periods indicated. Total AUM included for this analysis includes $1,392B for 1 year, $1,390B for 3 years, $1,376B for 5 years, and $1,337B for 10 years.</w:t>
      </w:r>
    </w:p>
    <w:p>
      <w:pPr>
        <w:spacing w:after="0" w:line="1" w:lineRule="exact"/>
        <w:rPr>
          <w:rFonts w:ascii="Arial" w:cs="Arial" w:eastAsia="Arial" w:hAnsi="Arial"/>
          <w:sz w:val="9"/>
          <w:szCs w:val="9"/>
          <w:i w:val="1"/>
          <w:iCs w:val="1"/>
          <w:color w:val="auto"/>
        </w:rPr>
      </w:pPr>
    </w:p>
    <w:p>
      <w:pPr>
        <w:ind w:right="100" w:firstLine="8"/>
        <w:spacing w:after="0" w:line="241" w:lineRule="auto"/>
        <w:tabs>
          <w:tab w:leader="none" w:pos="154" w:val="left"/>
        </w:tabs>
        <w:numPr>
          <w:ilvl w:val="0"/>
          <w:numId w:val="11"/>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The Morningstar Rating™ for funds is calculated for funds with at least a three-year history. Exchange-traded funds and open-ended mutual funds are considered a single population for comparative purposes. It is calculated based on a Morningstar Risk-Adjusted Return measure that accounts for variation in a managed product's monthly excess performance, placing more emphasis on downward variations and rewarding consistent performance. Morningstar gives its best ratings of 5 or 4 stars to the top 32.5% of all funds (of the 32.5%,10% get 5 stars and 22.5% get 4 stars). The Overall Morningstar Rating™ is derived from a weighted average of the performance figures associated with a fund’s 3, 5, and 10 year (if applicable) Morningstar Rating™ metrics.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w:t>
      </w:r>
    </w:p>
    <w:p>
      <w:pPr>
        <w:spacing w:after="0" w:line="25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following table and discussion sets forth information regarding our consolidated financial results for the three months ended March 31, 2022 and 2021 on a U.S. GAAP basis as well as a non -GAAP basis. The first quarter of 2022 reflects the operating results of OHA which was acquired at the end of 2021. The non-GAAP basis adjusts for the impact of our consolidated T. Rowe Price investment products, the impact of market movements on the supplemental savings plan liability and related economic hedges, investment income related to certain other investments, and certain nonrecurring charges and gains, including acquisition-related amortization and costs.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3"/>
        </w:trPr>
        <w:tc>
          <w:tcPr>
            <w:tcW w:w="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60" w:type="dxa"/>
            <w:vAlign w:val="bottom"/>
            <w:gridSpan w:val="5"/>
            <w:shd w:val="clear" w:color="auto" w:fill="CCEEFF"/>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shd w:val="clear" w:color="auto" w:fill="CCEEFF"/>
          </w:tcPr>
          <w:p>
            <w:pPr>
              <w:spacing w:after="0"/>
              <w:rPr>
                <w:sz w:val="17"/>
                <w:szCs w:val="17"/>
                <w:color w:val="auto"/>
              </w:rPr>
            </w:pPr>
          </w:p>
        </w:tc>
        <w:tc>
          <w:tcPr>
            <w:tcW w:w="204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b w:val="1"/>
                <w:bCs w:val="1"/>
                <w:color w:val="auto"/>
              </w:rPr>
              <w:t>Q1 2022 vs. Q1 2021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40" w:type="dxa"/>
            <w:vAlign w:val="bottom"/>
            <w:gridSpan w:val="4"/>
          </w:tcPr>
          <w:p>
            <w:pPr>
              <w:spacing w:after="0"/>
              <w:rPr>
                <w:sz w:val="20"/>
                <w:szCs w:val="20"/>
                <w:color w:val="auto"/>
              </w:rPr>
            </w:pPr>
            <w:r>
              <w:rPr>
                <w:rFonts w:ascii="Arial" w:cs="Arial" w:eastAsia="Arial" w:hAnsi="Arial"/>
                <w:sz w:val="13"/>
                <w:szCs w:val="13"/>
                <w:color w:val="auto"/>
              </w:rPr>
              <w:t>(in millions, except per-share data)</w:t>
            </w: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3/31/2022</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3/31/2021</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100" w:type="dxa"/>
            <w:vAlign w:val="bottom"/>
            <w:tcBorders>
              <w:top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1"/>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CCEEFF"/>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9"/>
              </w:rPr>
              <w:t>U.S. GAAP basis</w:t>
            </w:r>
          </w:p>
        </w:tc>
        <w:tc>
          <w:tcPr>
            <w:tcW w:w="540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40" w:type="dxa"/>
            <w:vAlign w:val="bottom"/>
            <w:gridSpan w:val="4"/>
          </w:tcPr>
          <w:p>
            <w:pPr>
              <w:spacing w:after="0"/>
              <w:rPr>
                <w:sz w:val="20"/>
                <w:szCs w:val="20"/>
                <w:color w:val="auto"/>
              </w:rPr>
            </w:pPr>
            <w:r>
              <w:rPr>
                <w:rFonts w:ascii="Arial" w:cs="Arial" w:eastAsia="Arial" w:hAnsi="Arial"/>
                <w:sz w:val="16"/>
                <w:szCs w:val="16"/>
                <w:color w:val="auto"/>
              </w:rPr>
              <w:t>Investment advisory fees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1,662.1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1,687.8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8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40" w:type="dxa"/>
            <w:vAlign w:val="bottom"/>
            <w:gridSpan w:val="4"/>
          </w:tcPr>
          <w:p>
            <w:pPr>
              <w:spacing w:after="0"/>
              <w:rPr>
                <w:sz w:val="20"/>
                <w:szCs w:val="20"/>
                <w:color w:val="auto"/>
              </w:rPr>
            </w:pPr>
            <w:r>
              <w:rPr>
                <w:rFonts w:ascii="Arial" w:cs="Arial" w:eastAsia="Arial" w:hAnsi="Arial"/>
                <w:sz w:val="16"/>
                <w:szCs w:val="16"/>
                <w:color w:val="auto"/>
              </w:rPr>
              <w:t>Operating expenses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985.6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933.6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52.0</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5.6 %</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8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4"/>
          </w:tcPr>
          <w:p>
            <w:pPr>
              <w:spacing w:after="0" w:line="216" w:lineRule="exact"/>
              <w:rPr>
                <w:sz w:val="20"/>
                <w:szCs w:val="20"/>
                <w:color w:val="auto"/>
              </w:rPr>
            </w:pPr>
            <w:r>
              <w:rPr>
                <w:rFonts w:ascii="Arial" w:cs="Arial" w:eastAsia="Arial" w:hAnsi="Arial"/>
                <w:sz w:val="16"/>
                <w:szCs w:val="16"/>
                <w:color w:val="auto"/>
              </w:rPr>
              <w:t>Non-operating income (loss)</w:t>
            </w:r>
            <w:r>
              <w:rPr>
                <w:rFonts w:ascii="Arial" w:cs="Arial" w:eastAsia="Arial" w:hAnsi="Arial"/>
                <w:sz w:val="21"/>
                <w:szCs w:val="21"/>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(198.5)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102.1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(300.6)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840" w:type="dxa"/>
            <w:vAlign w:val="bottom"/>
            <w:gridSpan w:val="4"/>
            <w:shd w:val="clear" w:color="auto" w:fill="CCEEFF"/>
          </w:tcPr>
          <w:p>
            <w:pPr>
              <w:spacing w:after="0" w:line="162" w:lineRule="exact"/>
              <w:rPr>
                <w:sz w:val="20"/>
                <w:szCs w:val="20"/>
                <w:color w:val="auto"/>
              </w:rPr>
            </w:pPr>
            <w:r>
              <w:rPr>
                <w:rFonts w:ascii="Arial" w:cs="Arial" w:eastAsia="Arial" w:hAnsi="Arial"/>
                <w:sz w:val="16"/>
                <w:szCs w:val="16"/>
                <w:color w:val="auto"/>
              </w:rPr>
              <w:t>Net income attributable to</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567.9</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749.4</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(181.5)</w:t>
            </w: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8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T. Rowe Price</w:t>
            </w:r>
          </w:p>
        </w:tc>
        <w:tc>
          <w:tcPr>
            <w:tcW w:w="14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40" w:type="dxa"/>
            <w:vAlign w:val="bottom"/>
            <w:gridSpan w:val="4"/>
          </w:tcPr>
          <w:p>
            <w:pPr>
              <w:spacing w:after="0"/>
              <w:rPr>
                <w:sz w:val="20"/>
                <w:szCs w:val="20"/>
                <w:color w:val="auto"/>
              </w:rPr>
            </w:pPr>
            <w:r>
              <w:rPr>
                <w:rFonts w:ascii="Arial" w:cs="Arial" w:eastAsia="Arial" w:hAnsi="Arial"/>
                <w:sz w:val="16"/>
                <w:szCs w:val="16"/>
                <w:color w:val="auto"/>
              </w:rPr>
              <w:t>Diluted earnings per common share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8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Weighted average common shares outstanding assuming dilution</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840" w:type="dxa"/>
            <w:vAlign w:val="bottom"/>
            <w:gridSpan w:val="4"/>
            <w:shd w:val="clear" w:color="auto" w:fill="CCEEFF"/>
          </w:tcPr>
          <w:p>
            <w:pPr>
              <w:spacing w:after="0" w:line="176" w:lineRule="exact"/>
              <w:rPr>
                <w:sz w:val="20"/>
                <w:szCs w:val="20"/>
                <w:color w:val="auto"/>
              </w:rPr>
            </w:pPr>
            <w:r>
              <w:rPr>
                <w:rFonts w:ascii="Arial" w:cs="Arial" w:eastAsia="Arial" w:hAnsi="Arial"/>
                <w:sz w:val="15"/>
                <w:szCs w:val="15"/>
                <w:b w:val="1"/>
                <w:bCs w:val="1"/>
                <w:color w:val="auto"/>
              </w:rPr>
              <w:t>Adjusted non-GAAP basis</w:t>
            </w:r>
            <w:r>
              <w:rPr>
                <w:rFonts w:ascii="Arial" w:cs="Arial" w:eastAsia="Arial" w:hAnsi="Arial"/>
                <w:sz w:val="20"/>
                <w:szCs w:val="20"/>
                <w:b w:val="1"/>
                <w:bCs w:val="1"/>
                <w:color w:val="auto"/>
                <w:vertAlign w:val="superscript"/>
              </w:rPr>
              <w:t>(2)</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202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Operating expenses</w:t>
            </w:r>
          </w:p>
        </w:tc>
        <w:tc>
          <w:tcPr>
            <w:tcW w:w="482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1,039.1</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909.2</w:t>
            </w: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129.9</w:t>
            </w:r>
          </w:p>
        </w:tc>
        <w:tc>
          <w:tcPr>
            <w:tcW w:w="1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14.3 %</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8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4"/>
          </w:tcPr>
          <w:p>
            <w:pPr>
              <w:spacing w:after="0" w:line="216" w:lineRule="exact"/>
              <w:rPr>
                <w:sz w:val="20"/>
                <w:szCs w:val="20"/>
                <w:color w:val="auto"/>
              </w:rPr>
            </w:pPr>
            <w:r>
              <w:rPr>
                <w:rFonts w:ascii="Arial" w:cs="Arial" w:eastAsia="Arial" w:hAnsi="Arial"/>
                <w:sz w:val="16"/>
                <w:szCs w:val="16"/>
                <w:color w:val="auto"/>
              </w:rPr>
              <w:t>Non-operating income (loss)</w:t>
            </w:r>
            <w:r>
              <w:rPr>
                <w:rFonts w:ascii="Arial" w:cs="Arial" w:eastAsia="Arial" w:hAnsi="Arial"/>
                <w:sz w:val="21"/>
                <w:szCs w:val="21"/>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8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income attributable to T. Rowe Price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40" w:type="dxa"/>
            <w:vAlign w:val="bottom"/>
            <w:gridSpan w:val="4"/>
          </w:tcPr>
          <w:p>
            <w:pPr>
              <w:spacing w:after="0"/>
              <w:rPr>
                <w:sz w:val="20"/>
                <w:szCs w:val="20"/>
                <w:color w:val="auto"/>
              </w:rPr>
            </w:pPr>
            <w:r>
              <w:rPr>
                <w:rFonts w:ascii="Arial" w:cs="Arial" w:eastAsia="Arial" w:hAnsi="Arial"/>
                <w:sz w:val="16"/>
                <w:szCs w:val="16"/>
                <w:color w:val="auto"/>
              </w:rPr>
              <w:t>Diluted earnings per common share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3.01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95"/>
        </w:trPr>
        <w:tc>
          <w:tcPr>
            <w:tcW w:w="2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7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40" w:type="dxa"/>
            <w:vAlign w:val="bottom"/>
            <w:gridSpan w:val="4"/>
          </w:tcPr>
          <w:p>
            <w:pPr>
              <w:spacing w:after="0" w:line="175" w:lineRule="exact"/>
              <w:rPr>
                <w:sz w:val="20"/>
                <w:szCs w:val="20"/>
                <w:color w:val="auto"/>
              </w:rPr>
            </w:pPr>
            <w:r>
              <w:rPr>
                <w:rFonts w:ascii="Arial" w:cs="Arial" w:eastAsia="Arial" w:hAnsi="Arial"/>
                <w:sz w:val="16"/>
                <w:szCs w:val="16"/>
                <w:b w:val="1"/>
                <w:bCs w:val="1"/>
                <w:color w:val="auto"/>
              </w:rPr>
              <w:t xml:space="preserve">Assets under management </w:t>
            </w:r>
            <w:r>
              <w:rPr>
                <w:rFonts w:ascii="Arial" w:cs="Arial" w:eastAsia="Arial" w:hAnsi="Arial"/>
                <w:sz w:val="16"/>
                <w:szCs w:val="16"/>
                <w:color w:val="auto"/>
              </w:rPr>
              <w:t>(in billions)</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8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Average assets under management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40" w:type="dxa"/>
            <w:vAlign w:val="bottom"/>
            <w:gridSpan w:val="4"/>
          </w:tcPr>
          <w:p>
            <w:pPr>
              <w:spacing w:after="0"/>
              <w:rPr>
                <w:sz w:val="20"/>
                <w:szCs w:val="20"/>
                <w:color w:val="auto"/>
              </w:rPr>
            </w:pPr>
            <w:r>
              <w:rPr>
                <w:rFonts w:ascii="Arial" w:cs="Arial" w:eastAsia="Arial" w:hAnsi="Arial"/>
                <w:sz w:val="16"/>
                <w:szCs w:val="16"/>
                <w:color w:val="auto"/>
              </w:rPr>
              <w:t>Ending assets under management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1,551.8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1,518.0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140" w:hanging="132"/>
        <w:spacing w:after="0"/>
        <w:tabs>
          <w:tab w:leader="none" w:pos="140" w:val="left"/>
        </w:tabs>
        <w:numPr>
          <w:ilvl w:val="0"/>
          <w:numId w:val="12"/>
        </w:numPr>
        <w:rPr>
          <w:rFonts w:ascii="Arial" w:cs="Arial" w:eastAsia="Arial" w:hAnsi="Arial"/>
          <w:sz w:val="9"/>
          <w:szCs w:val="9"/>
          <w:i w:val="1"/>
          <w:iCs w:val="1"/>
          <w:color w:val="auto"/>
        </w:rPr>
      </w:pPr>
      <w:r>
        <w:rPr>
          <w:rFonts w:ascii="Arial" w:cs="Arial" w:eastAsia="Arial" w:hAnsi="Arial"/>
          <w:sz w:val="14"/>
          <w:szCs w:val="14"/>
          <w:i w:val="1"/>
          <w:iCs w:val="1"/>
          <w:color w:val="auto"/>
        </w:rPr>
        <w:t>The percentage change in non-operating income (loss) is not meaningful (n/m).</w:t>
      </w:r>
    </w:p>
    <w:p>
      <w:pPr>
        <w:spacing w:after="0" w:line="26" w:lineRule="exact"/>
        <w:rPr>
          <w:rFonts w:ascii="Arial" w:cs="Arial" w:eastAsia="Arial" w:hAnsi="Arial"/>
          <w:sz w:val="9"/>
          <w:szCs w:val="9"/>
          <w:i w:val="1"/>
          <w:iCs w:val="1"/>
          <w:color w:val="auto"/>
        </w:rPr>
      </w:pPr>
    </w:p>
    <w:p>
      <w:pPr>
        <w:ind w:left="140" w:hanging="132"/>
        <w:spacing w:after="0" w:line="229" w:lineRule="auto"/>
        <w:tabs>
          <w:tab w:leader="none" w:pos="140" w:val="left"/>
        </w:tabs>
        <w:numPr>
          <w:ilvl w:val="0"/>
          <w:numId w:val="12"/>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See the reconciliation to the comparable U.S. GAAP measures at the end of the Results of Operations section of this Management’s Discussion and Analysis.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Overview - Quarter ended March 31, 2022</w:t>
      </w:r>
    </w:p>
    <w:p>
      <w:pPr>
        <w:spacing w:after="0" w:line="252"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i w:val="1"/>
          <w:iCs w:val="1"/>
          <w:u w:val="single" w:color="auto"/>
          <w:color w:val="auto"/>
        </w:rPr>
        <w:t>Net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Total net revenues consist of investment advisory revenues; administrative, distribution, and servicing fees, and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allocation-based income. Total net revenues were $ 1,863.0 million in the first quarter of 2022 compared with $1,826.8 million in the first quarter of 2021. Approximately 90% of our total net revenues are earned from investment advisory revenues.</w:t>
      </w:r>
    </w:p>
    <w:p>
      <w:pPr>
        <w:spacing w:after="0" w:line="19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Investment advisory fees are generally earned based on the value and composition of our assets under management, which change based on fluctuations in financial markets and net cash flows. As our average assets under management increase or decrease in a given period, the level of our investment advisory fee revenue for that same period generally fluctuates in a similar manner. Our annualized effective fee rates can be impacted by market or cash flow related shifts among asset and share classes, price changes in existing products, and asset level changes in products with tiered-fee structures.</w:t>
      </w:r>
    </w:p>
    <w:p>
      <w:pPr>
        <w:spacing w:after="0" w:line="20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expenses on a GAAP basis were $985.6 million in the first quarter of 2022 compared with $933.6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quarter of 2021. On a non-GAAP basis, operating expenses were $1,039.1 million, a 14.3% increase over the comparable 2021 period.</w:t>
      </w:r>
    </w:p>
    <w:p>
      <w:pPr>
        <w:spacing w:after="0" w:line="19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About half of the increase in our non-GAAP operating expenses from the first quarter of 2021 is due to the inclusion of OHA’s operating expenses in the first quarter of 2022 following the acquisition at the end of 2021. OHA's operating expenses primarily impact compensation expense; technology, occupancy, and facility costs; and general, administrative and other costs. The remaining increase is primarily attributable to higher costs for technology development and core operations provided by FIS since August 2021 for the firm's full-service recordkeeping offering and higher costs related to the ongoing investment in the firm's technology capabilities. The costs incurred from the FIS arrangement were partially offset by a reduction in compensation expenses as a result of the approximately 800 associates who transitioned to FIS in August 2021.</w:t>
      </w:r>
    </w:p>
    <w:p>
      <w:pPr>
        <w:spacing w:after="0" w:line="21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non-GAAP operating expenses exclude the impact of the supplemental savings plan, consolidated sponsored products, the remeasurement of the contingent consideration liability, amortization of certain acquisition-related assets, and other acquisition-related costs. See our non-GAAP reconciliations later in this Management’s Discussion and Analysis section.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24" w:name="page25"/>
    <w:bookmarkEnd w:id="24"/>
    <w:p>
      <w:pPr>
        <w:jc w:val="both"/>
        <w:ind w:right="40"/>
        <w:spacing w:after="0" w:line="268" w:lineRule="auto"/>
        <w:rPr>
          <w:sz w:val="20"/>
          <w:szCs w:val="20"/>
          <w:color w:val="auto"/>
        </w:rPr>
      </w:pPr>
      <w:r>
        <w:rPr>
          <w:rFonts w:ascii="Arial" w:cs="Arial" w:eastAsia="Arial" w:hAnsi="Arial"/>
          <w:sz w:val="18"/>
          <w:szCs w:val="18"/>
          <w:color w:val="auto"/>
        </w:rPr>
        <w:t>We updated our forecasted 2022 non-GAAP operating expenses, including a full-year of OHA’s operating expenses, from a range of 12% to 16% to a range of 10% to 14% to reflect lower market-related expenses and a slower pace of net hiring experienced in the quarter. We could elect to further adjust our expense growth should unforeseen circumstances arise, including significant market movements.</w:t>
      </w:r>
    </w:p>
    <w:p>
      <w:pPr>
        <w:spacing w:after="0" w:line="19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i w:val="1"/>
          <w:iCs w:val="1"/>
          <w:u w:val="single" w:color="auto"/>
          <w:color w:val="auto"/>
        </w:rPr>
        <w:t>Operating margin.</w:t>
      </w:r>
      <w:r>
        <w:rPr>
          <w:rFonts w:ascii="Arial" w:cs="Arial" w:eastAsia="Arial" w:hAnsi="Arial"/>
          <w:sz w:val="18"/>
          <w:szCs w:val="18"/>
          <w:i w:val="1"/>
          <w:iCs w:val="1"/>
          <w:color w:val="auto"/>
        </w:rPr>
        <w:t xml:space="preserve"> </w:t>
      </w:r>
      <w:r>
        <w:rPr>
          <w:rFonts w:ascii="Arial" w:cs="Arial" w:eastAsia="Arial" w:hAnsi="Arial"/>
          <w:sz w:val="18"/>
          <w:szCs w:val="18"/>
          <w:color w:val="auto"/>
        </w:rPr>
        <w:t>Our operating margin in the first quarter of 2022 was 47.1%, compared to 48.9% earned in the 2021 quarter. The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our operating margin for the first quarter of 2022 compared to the 2021 period was primarily driven by expense growth outpacing the increase in net revenues in the first quarter of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Diluted 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Our 2022 diluted earnings per share reflects the net income of OHA that was acquired at the end of 2021.</w:t>
      </w:r>
    </w:p>
    <w:p>
      <w:pPr>
        <w:spacing w:after="0" w:line="252"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Diluted earnings per share was $2.41 for the first quarter of 2022 as compared to $3.17 for the first quarter of 2021. The 24.0% decrease was primarily driven by lower operating income and net investment losses recognized in the first quarter of 2022 as compared to net investment gains in the first quarter of 2021, as the strong market returns in 2021 outpaced the market performance in the first quarter of 2022.</w:t>
      </w:r>
    </w:p>
    <w:p>
      <w:pPr>
        <w:spacing w:after="0" w:line="20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On a non-GAAP basis, diluted earnings per share was $2.62 for the first quarter of 2022 as compared to $3.01 for the first quarter of 2021. Similar to our GAAP diluted earnings, the decrease is largely attributable to lower operating income compared to 2021 period and net investment losses on our seed and discretionary portfolio recognized in the first quarter of 2022 as compared to net investment gains in the first quarter of 2021.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revenues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60" w:type="dxa"/>
            <w:vAlign w:val="bottom"/>
            <w:gridSpan w:val="5"/>
            <w:shd w:val="clear" w:color="auto" w:fill="CCEEFF"/>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shd w:val="clear" w:color="auto" w:fill="CCEEFF"/>
          </w:tcPr>
          <w:p>
            <w:pPr>
              <w:spacing w:after="0"/>
              <w:rPr>
                <w:sz w:val="17"/>
                <w:szCs w:val="17"/>
                <w:color w:val="auto"/>
              </w:rPr>
            </w:pPr>
          </w:p>
        </w:tc>
        <w:tc>
          <w:tcPr>
            <w:tcW w:w="20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b w:val="1"/>
                <w:bCs w:val="1"/>
                <w:color w:val="auto"/>
              </w:rPr>
              <w:t>Q1 2022 vs. Q1 2021</w:t>
            </w:r>
          </w:p>
        </w:tc>
        <w:tc>
          <w:tcPr>
            <w:tcW w:w="0" w:type="dxa"/>
            <w:vAlign w:val="bottom"/>
          </w:tcPr>
          <w:p>
            <w:pPr>
              <w:spacing w:after="0"/>
              <w:rPr>
                <w:sz w:val="1"/>
                <w:szCs w:val="1"/>
                <w:color w:val="auto"/>
              </w:rPr>
            </w:pPr>
          </w:p>
        </w:tc>
      </w:tr>
      <w:tr>
        <w:trPr>
          <w:trHeight w:val="195"/>
        </w:trPr>
        <w:tc>
          <w:tcPr>
            <w:tcW w:w="67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3/31/2022</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3/31/2021</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100" w:type="dxa"/>
            <w:vAlign w:val="bottom"/>
            <w:tcBorders>
              <w:top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7"/>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Investment advisory fees</w:t>
            </w: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740" w:type="dxa"/>
            <w:vAlign w:val="bottom"/>
          </w:tcPr>
          <w:p>
            <w:pPr>
              <w:ind w:left="140"/>
              <w:spacing w:after="0"/>
              <w:rPr>
                <w:sz w:val="20"/>
                <w:szCs w:val="20"/>
                <w:color w:val="auto"/>
              </w:rPr>
            </w:pPr>
            <w:r>
              <w:rPr>
                <w:rFonts w:ascii="Arial" w:cs="Arial" w:eastAsia="Arial" w:hAnsi="Arial"/>
                <w:sz w:val="16"/>
                <w:szCs w:val="16"/>
                <w:color w:val="auto"/>
              </w:rPr>
              <w:t>U.S. mutual funds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976.5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1,050.2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(73.7)</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63"/>
        </w:trPr>
        <w:tc>
          <w:tcPr>
            <w:tcW w:w="674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Subadvised funds, separate accounts, collective investment trusts, and other investment</w:t>
            </w: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685.6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637.6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48.0</w:t>
            </w: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7.5 %</w:t>
            </w:r>
          </w:p>
        </w:tc>
        <w:tc>
          <w:tcPr>
            <w:tcW w:w="0" w:type="dxa"/>
            <w:vAlign w:val="bottom"/>
          </w:tcPr>
          <w:p>
            <w:pPr>
              <w:spacing w:after="0"/>
              <w:rPr>
                <w:sz w:val="1"/>
                <w:szCs w:val="1"/>
                <w:color w:val="auto"/>
              </w:rPr>
            </w:pPr>
          </w:p>
        </w:tc>
      </w:tr>
      <w:tr>
        <w:trPr>
          <w:trHeight w:val="215"/>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products</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1,662.1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1,687.8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Administrative, distribution, and servicing fees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740" w:type="dxa"/>
            <w:vAlign w:val="bottom"/>
          </w:tcPr>
          <w:p>
            <w:pPr>
              <w:ind w:left="140"/>
              <w:spacing w:after="0"/>
              <w:rPr>
                <w:sz w:val="20"/>
                <w:szCs w:val="20"/>
                <w:color w:val="auto"/>
              </w:rPr>
            </w:pPr>
            <w:r>
              <w:rPr>
                <w:rFonts w:ascii="Arial" w:cs="Arial" w:eastAsia="Arial" w:hAnsi="Arial"/>
                <w:sz w:val="16"/>
                <w:szCs w:val="16"/>
                <w:color w:val="auto"/>
              </w:rPr>
              <w:t>Administrative fees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18.5 %</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Distribution and servicing fees</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09"/>
        </w:trPr>
        <w:tc>
          <w:tcPr>
            <w:tcW w:w="67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12.6 %</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b w:val="1"/>
                <w:bCs w:val="1"/>
                <w:color w:val="auto"/>
              </w:rPr>
              <w:t>Capital allocation-based income</w:t>
            </w:r>
            <w:r>
              <w:rPr>
                <w:rFonts w:ascii="Arial" w:cs="Arial" w:eastAsia="Arial" w:hAnsi="Arial"/>
                <w:sz w:val="21"/>
                <w:szCs w:val="21"/>
                <w:b w:val="1"/>
                <w:bCs w:val="1"/>
                <w:color w:val="auto"/>
                <w:vertAlign w:val="superscript"/>
              </w:rPr>
              <w:t>(1)</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44.4</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0"/>
        </w:trPr>
        <w:tc>
          <w:tcPr>
            <w:tcW w:w="6740" w:type="dxa"/>
            <w:vAlign w:val="bottom"/>
          </w:tcPr>
          <w:p>
            <w:pPr>
              <w:ind w:left="140"/>
              <w:spacing w:after="0"/>
              <w:rPr>
                <w:sz w:val="20"/>
                <w:szCs w:val="20"/>
                <w:color w:val="auto"/>
              </w:rPr>
            </w:pPr>
            <w:r>
              <w:rPr>
                <w:rFonts w:ascii="Arial" w:cs="Arial" w:eastAsia="Arial" w:hAnsi="Arial"/>
                <w:sz w:val="16"/>
                <w:szCs w:val="16"/>
                <w:b w:val="1"/>
                <w:bCs w:val="1"/>
                <w:color w:val="auto"/>
              </w:rPr>
              <w:t>Net revenues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1,863.0</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1,826.8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160" w:hanging="152"/>
        <w:spacing w:after="0"/>
        <w:tabs>
          <w:tab w:leader="none" w:pos="160" w:val="left"/>
        </w:tabs>
        <w:numPr>
          <w:ilvl w:val="0"/>
          <w:numId w:val="13"/>
        </w:numPr>
        <w:rPr>
          <w:rFonts w:ascii="Arial" w:cs="Arial" w:eastAsia="Arial" w:hAnsi="Arial"/>
          <w:sz w:val="9"/>
          <w:szCs w:val="9"/>
          <w:i w:val="1"/>
          <w:iCs w:val="1"/>
          <w:color w:val="auto"/>
        </w:rPr>
      </w:pPr>
      <w:r>
        <w:rPr>
          <w:rFonts w:ascii="Arial" w:cs="Arial" w:eastAsia="Arial" w:hAnsi="Arial"/>
          <w:sz w:val="14"/>
          <w:szCs w:val="14"/>
          <w:i w:val="1"/>
          <w:iCs w:val="1"/>
          <w:color w:val="auto"/>
        </w:rPr>
        <w:t>The percentage change for capital allocation-based income is not meaningful (n/m)</w:t>
      </w:r>
      <w:r>
        <w:rPr>
          <w:rFonts w:ascii="Arial" w:cs="Arial" w:eastAsia="Arial" w:hAnsi="Arial"/>
          <w:sz w:val="17"/>
          <w:szCs w:val="17"/>
          <w:i w:val="1"/>
          <w:iCs w:val="1"/>
          <w:color w:val="auto"/>
        </w:rPr>
        <w: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advisory fees.</w:t>
      </w:r>
    </w:p>
    <w:p>
      <w:pPr>
        <w:spacing w:after="0" w:line="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Investment advisory revenues earned in the first quarter of 2022 decreased over the comparable 2021 quarter despite an increase in average assets under our management of $51.1 billion, or 3.4%, to $1,559.9 billion. In the first quarter of 2022, we voluntarily waived $9.2 million, or less than 1%, of our investment advisory fees in order to continue to maintain a positive yield for investors. At March 31, 2022, combined net assets of the investment portfolios in which we waived fees in the first quarter of 2022 were $22.8 billion. We anticipate that the waivers will decline in the second quarter of 2022 and are expected to cease by the end of the second quarter of 2022.</w:t>
      </w:r>
    </w:p>
    <w:p>
      <w:pPr>
        <w:spacing w:after="0" w:line="2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total average annualized effective fee rate earned during the first quarter of 2022 was 43.2 basis points, compared with 45.4 basis points earned during the first quarter of 2021 and 43.4 basis points earned during the fourth quarter of 2021. In comparison to the first quarter of 2021, our annualized effective fee rate declined primarily due to the July 2021 fee reductions in our target-date products and an asset mix shift to lower fee vehicles and asset classes within the complex over the last twelve months. These fee pressures were partially offset by the higher than average fee rate earned on our alternative asset class.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mutual funds</w:t>
      </w:r>
    </w:p>
    <w:p>
      <w:pPr>
        <w:spacing w:after="0" w:line="27"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color w:val="auto"/>
        </w:rPr>
        <w:t>Investment advisory revenues earned in the first quarter of 2022 from our U.S. mutual funds were $976.5 million, a decrease of 7.0% from the comparable 2021 quarter. Average assets under management in these funds for the first</w:t>
      </w:r>
    </w:p>
    <w:p>
      <w:pPr>
        <w:sectPr>
          <w:pgSz w:w="11900" w:h="16838" w:orient="portrait"/>
          <w:cols w:equalWidth="0" w:num="1">
            <w:col w:w="11220"/>
          </w:cols>
          <w:pgMar w:left="320" w:top="1133" w:right="35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3" w:right="359" w:bottom="1440" w:gutter="0" w:footer="0" w:header="0"/>
          <w:type w:val="continuous"/>
        </w:sectPr>
      </w:pPr>
    </w:p>
    <w:bookmarkStart w:id="25" w:name="page26"/>
    <w:bookmarkEnd w:id="25"/>
    <w:p>
      <w:pPr>
        <w:ind w:right="200"/>
        <w:spacing w:after="0" w:line="268" w:lineRule="auto"/>
        <w:rPr>
          <w:sz w:val="20"/>
          <w:szCs w:val="20"/>
          <w:color w:val="auto"/>
        </w:rPr>
      </w:pPr>
      <w:r>
        <w:rPr>
          <w:rFonts w:ascii="Arial" w:cs="Arial" w:eastAsia="Arial" w:hAnsi="Arial"/>
          <w:sz w:val="18"/>
          <w:szCs w:val="18"/>
          <w:color w:val="auto"/>
        </w:rPr>
        <w:t>quarter of 2022 decreased 2.0% from the 2021 quarter to $798.0 billion. The annualized effective fee rate of 49.6 basis points for the first quarter of 2022 decreased from 52.3 basis points in the first quarter of 2021 primarily due to the July 2021 fee reductions in our target-date products and an asset mix shift to lower fee vehicles and asset classes within the complex over the last twelve months.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Subadvised funds, separate accounts, collective investment trusts and other investment products (other portfolios)</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Investment advisory revenues earned in the first quarter of 2022 from these other portfolios were $685.6 million, an increase of 7.5% from the comparable 2021 quarter. Average assets under management for these products increased 9.7% from the 2021 quarter to $761.9 billion. A portion of the increase in these advisory revenues and related average assets under management is due to the acquisition of OHA at the end of 2021. The annualized effective fee rate of 36.5 basis points for the first quarter of 2022 decreased from 37.2 basis points in the first quarter of 2021. The decrease is primarily due to the July 2021 fee reductions in our target-date products and an asset mix shift to lower fee vehicles and asset classes within the complex over the last twelve months. These fee pressures were partially offset by the higher than average fee rate earned on our alternative asset class.</w:t>
      </w:r>
    </w:p>
    <w:p>
      <w:pPr>
        <w:spacing w:after="0" w:line="2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u w:val="single" w:color="auto"/>
          <w:color w:val="auto"/>
        </w:rPr>
        <w:t>Administrative, distribution, and servicing fees.</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distribution, and servicing fees in the first quarter of 2022 were $156.5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$17.5 million, or 12.6%, from the comparable 2021 quarter. The increase was primarily due to higher transfer agent servicing activities provided to the T. Rowe Price mutual funds, higher model delivery revenue, and higher trustee services revenue. These increases were partially offset by lower 12b-1 revenue earned on the Advisor and R share classes of the U.S. mutual funds as a result of lower assets under management in these share classes. The decrease in 12b-1 revenue is offset entirely by a decrease in the costs paid to third-party intermediaries that source these assets and are reported in distribution and servicing expense.</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u w:val="single" w:color="auto"/>
          <w:color w:val="auto"/>
        </w:rPr>
        <w:t>Capital allocation-based income.</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allocation-based income in the first quarter of 2022 was $44.4 million. This represents $ 57.6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carried interest we earn from investments in affiliated private investment funds, partially offset by $13.2 million in non-cash amortization associated with the difference in the closing date fair value and carrying value of investments acquired as part of the OHA acquisition.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net revenues reflect the elimination of advisory and administrative fee revenue earned from our consolidated</w:t>
      </w:r>
    </w:p>
    <w:p>
      <w:pPr>
        <w:spacing w:after="0" w:line="27"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color w:val="auto"/>
        </w:rPr>
        <w:t>T. Rowe Price investment products. The corresponding expenses recognized by these products, and consolidated in our financial statements, were also eliminated from operating expenses. For the first quarter, we eliminated net revenue of $.9 million in 2022 and $1.3 million in 2021.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40" w:type="dxa"/>
            <w:vAlign w:val="bottom"/>
            <w:gridSpan w:val="5"/>
            <w:shd w:val="clear" w:color="auto" w:fill="CCEEFF"/>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shd w:val="clear" w:color="auto" w:fill="CCEEFF"/>
          </w:tcPr>
          <w:p>
            <w:pPr>
              <w:spacing w:after="0"/>
              <w:rPr>
                <w:sz w:val="17"/>
                <w:szCs w:val="17"/>
                <w:color w:val="auto"/>
              </w:rPr>
            </w:pPr>
          </w:p>
        </w:tc>
        <w:tc>
          <w:tcPr>
            <w:tcW w:w="18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Q1 2022 vs. Q1 2021</w:t>
            </w:r>
          </w:p>
        </w:tc>
      </w:tr>
      <w:tr>
        <w:trPr>
          <w:trHeight w:val="195"/>
        </w:trPr>
        <w:tc>
          <w:tcPr>
            <w:tcW w:w="72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3/31/2022</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9"/>
              </w:rPr>
              <w:t>3/31/2021</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 change</w:t>
            </w:r>
          </w:p>
        </w:tc>
        <w:tc>
          <w:tcPr>
            <w:tcW w:w="980" w:type="dxa"/>
            <w:vAlign w:val="bottom"/>
            <w:tcBorders>
              <w:top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 change</w:t>
            </w:r>
          </w:p>
        </w:tc>
      </w:tr>
      <w:tr>
        <w:trPr>
          <w:trHeight w:val="210"/>
        </w:trPr>
        <w:tc>
          <w:tcPr>
            <w:tcW w:w="7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Compensation and related costs, excluding supplemental savings plan</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632.6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12.7 %</w:t>
            </w:r>
          </w:p>
        </w:tc>
      </w:tr>
      <w:tr>
        <w:trPr>
          <w:trHeight w:val="216"/>
        </w:trPr>
        <w:tc>
          <w:tcPr>
            <w:tcW w:w="72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Supplemental savings plan</w:t>
            </w:r>
            <w:r>
              <w:rPr>
                <w:rFonts w:ascii="Arial" w:cs="Arial" w:eastAsia="Arial" w:hAnsi="Arial"/>
                <w:sz w:val="21"/>
                <w:szCs w:val="21"/>
                <w:color w:val="auto"/>
                <w:vertAlign w:val="superscript"/>
              </w:rPr>
              <w:t>(1)</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(73.2)</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r>
      <w:tr>
        <w:trPr>
          <w:trHeight w:val="209"/>
        </w:trPr>
        <w:tc>
          <w:tcPr>
            <w:tcW w:w="7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compensation and related costs</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581.6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9"/>
        </w:trPr>
        <w:tc>
          <w:tcPr>
            <w:tcW w:w="7200" w:type="dxa"/>
            <w:vAlign w:val="bottom"/>
          </w:tcPr>
          <w:p>
            <w:pPr>
              <w:ind w:left="20"/>
              <w:spacing w:after="0"/>
              <w:rPr>
                <w:sz w:val="20"/>
                <w:szCs w:val="20"/>
                <w:color w:val="auto"/>
              </w:rPr>
            </w:pPr>
            <w:r>
              <w:rPr>
                <w:rFonts w:ascii="Arial" w:cs="Arial" w:eastAsia="Arial" w:hAnsi="Arial"/>
                <w:sz w:val="16"/>
                <w:szCs w:val="16"/>
                <w:color w:val="auto"/>
              </w:rPr>
              <w:t>Distribution and servicing</w:t>
            </w:r>
          </w:p>
        </w:tc>
        <w:tc>
          <w:tcPr>
            <w:tcW w:w="12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85.9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.4 %</w:t>
            </w:r>
          </w:p>
        </w:tc>
      </w:tr>
      <w:tr>
        <w:trPr>
          <w:trHeight w:val="217"/>
        </w:trPr>
        <w:tc>
          <w:tcPr>
            <w:tcW w:w="7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Advertising and promotion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23.8 %</w:t>
            </w:r>
          </w:p>
        </w:tc>
      </w:tr>
      <w:tr>
        <w:trPr>
          <w:trHeight w:val="215"/>
        </w:trPr>
        <w:tc>
          <w:tcPr>
            <w:tcW w:w="7200" w:type="dxa"/>
            <w:vAlign w:val="bottom"/>
          </w:tcPr>
          <w:p>
            <w:pPr>
              <w:ind w:left="20"/>
              <w:spacing w:after="0"/>
              <w:rPr>
                <w:sz w:val="20"/>
                <w:szCs w:val="20"/>
                <w:color w:val="auto"/>
              </w:rPr>
            </w:pPr>
            <w:r>
              <w:rPr>
                <w:rFonts w:ascii="Arial" w:cs="Arial" w:eastAsia="Arial" w:hAnsi="Arial"/>
                <w:sz w:val="16"/>
                <w:szCs w:val="16"/>
                <w:color w:val="auto"/>
              </w:rPr>
              <w:t>Product and recordkeeping related costs</w:t>
            </w:r>
          </w:p>
        </w:tc>
        <w:tc>
          <w:tcPr>
            <w:tcW w:w="12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80.4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96.1 %</w:t>
            </w:r>
          </w:p>
        </w:tc>
      </w:tr>
      <w:tr>
        <w:trPr>
          <w:trHeight w:val="217"/>
        </w:trPr>
        <w:tc>
          <w:tcPr>
            <w:tcW w:w="7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occupancy, and facility costs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14.2 %</w:t>
            </w:r>
          </w:p>
        </w:tc>
      </w:tr>
      <w:tr>
        <w:trPr>
          <w:trHeight w:val="215"/>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administrative, and other</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80.4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r>
      <w:tr>
        <w:trPr>
          <w:trHeight w:val="235"/>
        </w:trPr>
        <w:tc>
          <w:tcPr>
            <w:tcW w:w="7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985.6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933.6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5.6 %</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1" w:lineRule="exact"/>
        <w:rPr>
          <w:sz w:val="20"/>
          <w:szCs w:val="20"/>
          <w:color w:val="auto"/>
        </w:rPr>
      </w:pPr>
    </w:p>
    <w:p>
      <w:pPr>
        <w:ind w:left="200" w:hanging="192"/>
        <w:spacing w:after="0"/>
        <w:tabs>
          <w:tab w:leader="none" w:pos="200" w:val="left"/>
        </w:tabs>
        <w:numPr>
          <w:ilvl w:val="0"/>
          <w:numId w:val="14"/>
        </w:numPr>
        <w:rPr>
          <w:rFonts w:ascii="Arial" w:cs="Arial" w:eastAsia="Arial" w:hAnsi="Arial"/>
          <w:sz w:val="23"/>
          <w:szCs w:val="23"/>
          <w:color w:val="auto"/>
          <w:vertAlign w:val="superscript"/>
        </w:rPr>
      </w:pPr>
      <w:r>
        <w:rPr>
          <w:rFonts w:ascii="Arial" w:cs="Arial" w:eastAsia="Arial" w:hAnsi="Arial"/>
          <w:sz w:val="14"/>
          <w:szCs w:val="14"/>
          <w:i w:val="1"/>
          <w:iCs w:val="1"/>
          <w:color w:val="auto"/>
        </w:rPr>
        <w:t>The impact of the market on the supplemental savings plan liability drives the expense recognized each period.</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u w:val="single" w:color="auto"/>
          <w:color w:val="auto"/>
        </w:rPr>
        <w:t>Compensation and related costs, excluding supplemental savings plan.</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related costs, excluding supplemental savings</w:t>
      </w:r>
      <w:r>
        <w:rPr>
          <w:rFonts w:ascii="Arial" w:cs="Arial" w:eastAsia="Arial" w:hAnsi="Arial"/>
          <w:sz w:val="18"/>
          <w:szCs w:val="18"/>
          <w:i w:val="1"/>
          <w:iCs w:val="1"/>
          <w:color w:val="auto"/>
        </w:rPr>
        <w:t xml:space="preserve"> </w:t>
      </w:r>
      <w:r>
        <w:rPr>
          <w:rFonts w:ascii="Arial" w:cs="Arial" w:eastAsia="Arial" w:hAnsi="Arial"/>
          <w:sz w:val="18"/>
          <w:szCs w:val="18"/>
          <w:color w:val="auto"/>
        </w:rPr>
        <w:t>plan, were $632.6 million in the first quarter of 2022, an increase of $71.3 million, or 12.7%, compared to the 2021 quarter. The first quarter of 2022 includes OHA’s compensation and related costs, carried interest-related compensation, and $13.7 million in non-cash amortization of certain acquisition-related retention arrangements. The firm employed 7,573 associates at March 31, 2022, an increase of .6% from the end of 2021.</w:t>
      </w:r>
    </w:p>
    <w:p>
      <w:pPr>
        <w:spacing w:after="0" w:line="206"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i w:val="1"/>
          <w:iCs w:val="1"/>
          <w:u w:val="single" w:color="auto"/>
          <w:color w:val="auto"/>
        </w:rPr>
        <w:t>Distribution and servicing.</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and servicing costs were $85.9 million for the first quarter of 2022, an increase of .4% from the $85.6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recognized in the 2021 quarter. The slight increase was primarily driven by</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6" w:name="page27"/>
    <w:bookmarkEnd w:id="26"/>
    <w:p>
      <w:pPr>
        <w:spacing w:after="0" w:line="262" w:lineRule="auto"/>
        <w:rPr>
          <w:sz w:val="20"/>
          <w:szCs w:val="20"/>
          <w:color w:val="auto"/>
        </w:rPr>
      </w:pPr>
      <w:r>
        <w:rPr>
          <w:rFonts w:ascii="Arial" w:cs="Arial" w:eastAsia="Arial" w:hAnsi="Arial"/>
          <w:sz w:val="18"/>
          <w:szCs w:val="18"/>
          <w:color w:val="auto"/>
        </w:rPr>
        <w:t>higher costs incurred to distribute certain products through U.S. financial intermediaries, as assets under management in these products have increased from prior year, and by higher AUM-based distribution costs in our international products, including our Japanese Investment Trusts (ITMs), and certain SICAV share classes. These increases were partially offset by lower 12b-1 fees due to lower average assets under management in the U.S. mutual funds.</w:t>
      </w:r>
    </w:p>
    <w:p>
      <w:pPr>
        <w:spacing w:after="0" w:line="203" w:lineRule="exact"/>
        <w:rPr>
          <w:sz w:val="20"/>
          <w:szCs w:val="20"/>
          <w:color w:val="auto"/>
        </w:rPr>
      </w:pPr>
    </w:p>
    <w:p>
      <w:pPr>
        <w:jc w:val="both"/>
        <w:ind w:right="240"/>
        <w:spacing w:after="0" w:line="262" w:lineRule="auto"/>
        <w:rPr>
          <w:sz w:val="20"/>
          <w:szCs w:val="20"/>
          <w:color w:val="auto"/>
        </w:rPr>
      </w:pPr>
      <w:r>
        <w:rPr>
          <w:rFonts w:ascii="Arial" w:cs="Arial" w:eastAsia="Arial" w:hAnsi="Arial"/>
          <w:sz w:val="18"/>
          <w:szCs w:val="18"/>
          <w:color w:val="auto"/>
        </w:rPr>
        <w:t>The amounts paid to third-party intermediaries that source the assets of the Advisor and R share classes of our U.S. mutual funds and our international products, such as our Japanese ITMs and SICAVs, are recognized in the distribution and servicing expense category. Both of these costs are offset entirely by the revenue we earn and report in net revenues: 12b-1 revenue recognized in administrative, distribution, and servicing fees for the U.S. mutual funds and investment advisory fee revenue for our international products.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Advertising and promotion.</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and promotion costs were $23.4 million in the first quarter of 2022, an increase of $4.5 million, or</w:t>
      </w:r>
    </w:p>
    <w:p>
      <w:pPr>
        <w:spacing w:after="0" w:line="2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23.8%, compared to the $18.9 million recognized in the 2021 quarter. The increase was driven primarily by increased media spend as well as advertising development costs during the quarter, along with lower spending in 2021 due to the impact of the coronavirus pandemic.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Product and recordkeeping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and recordkeeping costs were $80.4 million in the first quarter of 2022, an increase of</w:t>
      </w:r>
    </w:p>
    <w:p>
      <w:pPr>
        <w:spacing w:after="0" w:line="14"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auto"/>
        </w:rPr>
        <w:t>$39.4 million, or 96%, compared to the $41.0 million in the 2021 quarter. Approximately 80% of the increase in the first quarter of 2022 was driven by the recordkeeping costs incurred as part of our expanded FIS relationship that began in August 2021.</w:t>
      </w:r>
    </w:p>
    <w:p>
      <w:pPr>
        <w:spacing w:after="0" w:line="1" w:lineRule="exact"/>
        <w:rPr>
          <w:sz w:val="20"/>
          <w:szCs w:val="20"/>
          <w:color w:val="auto"/>
        </w:rPr>
      </w:pPr>
    </w:p>
    <w:p>
      <w:pPr>
        <w:jc w:val="both"/>
        <w:ind w:right="540"/>
        <w:spacing w:after="0" w:line="258" w:lineRule="auto"/>
        <w:rPr>
          <w:sz w:val="20"/>
          <w:szCs w:val="20"/>
          <w:color w:val="auto"/>
        </w:rPr>
      </w:pPr>
      <w:r>
        <w:rPr>
          <w:rFonts w:ascii="Arial" w:cs="Arial" w:eastAsia="Arial" w:hAnsi="Arial"/>
          <w:sz w:val="18"/>
          <w:szCs w:val="18"/>
          <w:i w:val="1"/>
          <w:iCs w:val="1"/>
          <w:u w:val="single" w:color="auto"/>
          <w:color w:val="auto"/>
        </w:rPr>
        <w:t>Technology, occupancy, and facility costs.</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occupancy, and facility costs were $ 133.9 million in the first quarter of 2022,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$16.6 million, or 14.2%, compared to the $117.3 million recognized in the 2021 quarter. The increase is due primarily to the ongoing investment in our technology capabilities, including hosted solution licenses, depreciation and office facility costs.</w:t>
      </w:r>
    </w:p>
    <w:p>
      <w:pPr>
        <w:spacing w:after="0" w:line="2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u w:val="single" w:color="auto"/>
          <w:color w:val="auto"/>
        </w:rPr>
        <w:t>General, administrative,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administrative, and other expenses were $80.4 million in the first quarter of 2022,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$6.9 million, or 7.9%, compared to the $ 87.3 million recognized in the 2021 quarter. The decrease was primarily related to the favorable impact of the change in fair value of the contingent consideration liability of $45.5 million, partially offset by $27.1 million in acquisition-related amortization and other acquisition-related costs. Higher information services, external research, travel and other nonrecurring administrative costs further offset the decrease in general, administrative and other expenses in the first quarter of 2022 compared to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auto"/>
        </w:rPr>
        <w:t>Non-operating income (loss)</w:t>
      </w:r>
    </w:p>
    <w:p>
      <w:pPr>
        <w:spacing w:after="0" w:line="25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Non-operating loss for the first quarter of 2022 was $198.5 million as compared to non-operating income of $102.1 million in the 2021 quarter. The following table details the components of non-operating income (loss) for both the first quarter ended March 31, 2022 and 2021.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7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2340" w:type="dxa"/>
            <w:vAlign w:val="bottom"/>
            <w:tcBorders>
              <w:bottom w:val="single" w:sz="8" w:color="auto"/>
            </w:tcBorders>
            <w:gridSpan w:val="4"/>
            <w:shd w:val="clear" w:color="auto" w:fill="CCEEFF"/>
          </w:tcPr>
          <w:p>
            <w:pPr>
              <w:jc w:val="right"/>
              <w:ind w:right="472"/>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3/31/2022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3/31/2021</w:t>
            </w:r>
          </w:p>
        </w:tc>
      </w:tr>
      <w:tr>
        <w:trPr>
          <w:trHeight w:val="21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gains (losses) from non-consolidated T. Rowe Price investment products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Cash and discretionary investments</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8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Market related gains (losses) and equity in earnings (losses)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r>
      <w:tr>
        <w:trPr>
          <w:trHeight w:val="223"/>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cash and discretionary investments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w:t>
            </w: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Seed capital investments</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income</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Market related gains (losses) and equity in earnings (losses)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gains recognized upon deconsolidation</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Investments used to hedge the supplemental savings plan liability</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r>
      <w:tr>
        <w:trPr>
          <w:trHeight w:val="223"/>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net gains (losses) from non-consolidated T. Rowe Price investment products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50.4</w:t>
            </w:r>
          </w:p>
        </w:tc>
      </w:tr>
      <w:tr>
        <w:trPr>
          <w:trHeight w:val="229"/>
        </w:trPr>
        <w:tc>
          <w:tcPr>
            <w:tcW w:w="8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investment income</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r>
      <w:tr>
        <w:trPr>
          <w:trHeight w:val="223"/>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gains (losses) on investments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68.6</w:t>
            </w:r>
          </w:p>
        </w:tc>
      </w:tr>
    </w:tbl>
    <w:p>
      <w:pPr>
        <w:spacing w:after="0" w:line="1" w:lineRule="exact"/>
        <w:rPr>
          <w:sz w:val="20"/>
          <w:szCs w:val="20"/>
          <w:color w:val="auto"/>
        </w:rPr>
      </w:pPr>
    </w:p>
    <w:p>
      <w:pPr>
        <w:sectPr>
          <w:pgSz w:w="11900" w:h="16838" w:orient="portrait"/>
          <w:cols w:equalWidth="0" w:num="1">
            <w:col w:w="11240"/>
          </w:cols>
          <w:pgMar w:left="320" w:top="890" w:right="339" w:bottom="1440" w:gutter="0" w:footer="0" w:header="0"/>
        </w:sectPr>
      </w:pPr>
    </w:p>
    <w:p>
      <w:pPr>
        <w:ind w:left="20" w:right="2620"/>
        <w:spacing w:after="0" w:line="303" w:lineRule="auto"/>
        <w:rPr>
          <w:sz w:val="20"/>
          <w:szCs w:val="20"/>
          <w:color w:val="auto"/>
        </w:rPr>
      </w:pPr>
      <w:r>
        <w:rPr>
          <w:rFonts w:ascii="Arial" w:cs="Arial" w:eastAsia="Arial" w:hAnsi="Arial"/>
          <w:sz w:val="17"/>
          <w:szCs w:val="17"/>
          <w:color w:val="auto"/>
        </w:rPr>
        <w:t>Net gains (losses) on consolidated sponsored investment portfolios Other income (loss), including foreign currency gains and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Non-operating income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37.2</w:t>
            </w:r>
          </w:p>
        </w:tc>
      </w:tr>
      <w:tr>
        <w:trPr>
          <w:trHeight w:val="235"/>
        </w:trPr>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102.1</w:t>
            </w: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80" w:space="720"/>
            <w:col w:w="2540"/>
          </w:cols>
          <w:pgMar w:left="320" w:top="890" w:right="339" w:bottom="1440" w:gutter="0" w:footer="0" w:header="0"/>
          <w:type w:val="continuous"/>
        </w:sectPr>
      </w:pPr>
    </w:p>
    <w:p>
      <w:pPr>
        <w:spacing w:after="0" w:line="11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significant investment portfolio gains in the first quarter of 2021 outperformed the investment portfolio losses in the first quarter of 2022 as the Russian invasion of Ukraine, inflation fears and the Federal Reserve interest rate increases weighed on the global economy and markets resulting in lower valuations at the end of the first quarter 2022. The cash and discretionary investment portfolio also experienced net investment losses of $23.8 million during the first quarter of 2022.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table above includes the net investment income of the underlying portfolios included in the consolidated</w:t>
      </w:r>
    </w:p>
    <w:p>
      <w:pPr>
        <w:spacing w:after="0" w:line="27" w:lineRule="exact"/>
        <w:rPr>
          <w:sz w:val="20"/>
          <w:szCs w:val="20"/>
          <w:color w:val="auto"/>
        </w:rPr>
      </w:pPr>
    </w:p>
    <w:p>
      <w:pPr>
        <w:jc w:val="both"/>
        <w:ind w:right="120"/>
        <w:spacing w:after="0" w:line="258" w:lineRule="auto"/>
        <w:rPr>
          <w:sz w:val="20"/>
          <w:szCs w:val="20"/>
          <w:color w:val="auto"/>
        </w:rPr>
      </w:pPr>
      <w:r>
        <w:rPr>
          <w:rFonts w:ascii="Arial" w:cs="Arial" w:eastAsia="Arial" w:hAnsi="Arial"/>
          <w:sz w:val="18"/>
          <w:szCs w:val="18"/>
          <w:color w:val="auto"/>
        </w:rPr>
        <w:t>T. Rowe Price investment products and not just the net investment income related to our interest. The table below shows the impact that the consolidated T. Rowe Price investment products had on the individual lines of our unaudited condensed consolidated statements of income and the portion attributable to our interest:</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8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740" w:type="dxa"/>
            <w:vAlign w:val="bottom"/>
            <w:tcBorders>
              <w:bottom w:val="single" w:sz="8" w:color="auto"/>
            </w:tcBorders>
            <w:gridSpan w:val="4"/>
            <w:shd w:val="clear" w:color="auto" w:fill="CCEEFF"/>
          </w:tcPr>
          <w:p>
            <w:pPr>
              <w:jc w:val="right"/>
              <w:ind w:right="693"/>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3/31/2022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3/31/2021</w:t>
            </w:r>
          </w:p>
        </w:tc>
      </w:tr>
      <w:tr>
        <w:trPr>
          <w:trHeight w:val="224"/>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reflected in net operating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investment income (loss) reflected in non-operating income</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r>
      <w:tr>
        <w:trPr>
          <w:trHeight w:val="248"/>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on income before taxes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0"/>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our interest in the consolidated T. Rowe Price investment products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29"/>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redeemable non-controlling interests (unrelated third-party investors)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r>
      <w:tr>
        <w:trPr>
          <w:trHeight w:val="248"/>
        </w:trPr>
        <w:tc>
          <w:tcPr>
            <w:tcW w:w="8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statutory federal income tax rate to our effective tax rate on a GAAP basis for both the three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31, 2022 and 2021:</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shd w:val="clear" w:color="auto" w:fill="CCEEFF"/>
          </w:tcPr>
          <w:p>
            <w:pPr>
              <w:spacing w:after="0"/>
              <w:rPr>
                <w:sz w:val="17"/>
                <w:szCs w:val="17"/>
                <w:color w:val="auto"/>
              </w:rPr>
            </w:pPr>
          </w:p>
        </w:tc>
        <w:tc>
          <w:tcPr>
            <w:tcW w:w="3240" w:type="dxa"/>
            <w:vAlign w:val="bottom"/>
            <w:tcBorders>
              <w:bottom w:val="single" w:sz="8" w:color="auto"/>
            </w:tcBorders>
            <w:gridSpan w:val="3"/>
            <w:shd w:val="clear" w:color="auto" w:fill="CCEEFF"/>
          </w:tcPr>
          <w:p>
            <w:pPr>
              <w:jc w:val="right"/>
              <w:ind w:right="833"/>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0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3/31/2022</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3/31/2021</w:t>
            </w:r>
          </w:p>
        </w:tc>
      </w:tr>
      <w:tr>
        <w:trPr>
          <w:trHeight w:val="224"/>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Statutory U.S. federal income tax rate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8000" w:type="dxa"/>
            <w:vAlign w:val="bottom"/>
          </w:tcPr>
          <w:p>
            <w:pPr>
              <w:ind w:left="20"/>
              <w:spacing w:after="0" w:line="230" w:lineRule="exact"/>
              <w:rPr>
                <w:sz w:val="20"/>
                <w:szCs w:val="20"/>
                <w:color w:val="auto"/>
              </w:rPr>
            </w:pPr>
            <w:r>
              <w:rPr>
                <w:rFonts w:ascii="Arial" w:cs="Arial" w:eastAsia="Arial" w:hAnsi="Arial"/>
                <w:sz w:val="16"/>
                <w:szCs w:val="16"/>
                <w:color w:val="auto"/>
              </w:rPr>
              <w:t>State income taxes for current year, net of federal income tax benefits</w:t>
            </w:r>
            <w:r>
              <w:rPr>
                <w:rFonts w:ascii="Arial" w:cs="Arial" w:eastAsia="Arial" w:hAnsi="Arial"/>
                <w:sz w:val="21"/>
                <w:szCs w:val="21"/>
                <w:color w:val="auto"/>
                <w:vertAlign w:val="superscript"/>
              </w:rPr>
              <w:t>(1)</w:t>
            </w:r>
          </w:p>
        </w:tc>
        <w:tc>
          <w:tcPr>
            <w:tcW w:w="1560" w:type="dxa"/>
            <w:vAlign w:val="bottom"/>
          </w:tcPr>
          <w:p>
            <w:pPr>
              <w:jc w:val="right"/>
              <w:ind w:right="155"/>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1560" w:type="dxa"/>
            <w:vAlign w:val="bottom"/>
          </w:tcPr>
          <w:p>
            <w:pPr>
              <w:jc w:val="right"/>
              <w:ind w:right="153"/>
              <w:spacing w:after="0"/>
              <w:rPr>
                <w:sz w:val="20"/>
                <w:szCs w:val="20"/>
                <w:color w:val="auto"/>
              </w:rPr>
            </w:pPr>
            <w:r>
              <w:rPr>
                <w:rFonts w:ascii="Arial" w:cs="Arial" w:eastAsia="Arial" w:hAnsi="Arial"/>
                <w:sz w:val="18"/>
                <w:szCs w:val="18"/>
                <w:color w:val="auto"/>
              </w:rPr>
              <w:t>3.8</w:t>
            </w: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losses attributable to redeemable non-controlling interests</w:t>
            </w:r>
          </w:p>
        </w:tc>
        <w:tc>
          <w:tcPr>
            <w:tcW w:w="15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w:t>
            </w:r>
          </w:p>
        </w:tc>
      </w:tr>
      <w:tr>
        <w:trPr>
          <w:trHeight w:val="229"/>
        </w:trPr>
        <w:tc>
          <w:tcPr>
            <w:tcW w:w="8000" w:type="dxa"/>
            <w:vAlign w:val="bottom"/>
          </w:tcPr>
          <w:p>
            <w:pPr>
              <w:ind w:left="20"/>
              <w:spacing w:after="0"/>
              <w:rPr>
                <w:sz w:val="20"/>
                <w:szCs w:val="20"/>
                <w:color w:val="auto"/>
              </w:rPr>
            </w:pPr>
            <w:r>
              <w:rPr>
                <w:rFonts w:ascii="Arial" w:cs="Arial" w:eastAsia="Arial" w:hAnsi="Arial"/>
                <w:sz w:val="16"/>
                <w:szCs w:val="16"/>
                <w:color w:val="auto"/>
              </w:rPr>
              <w:t>Net excess tax benefits from stock-based compensation plans activity</w:t>
            </w:r>
          </w:p>
        </w:tc>
        <w:tc>
          <w:tcPr>
            <w:tcW w:w="1560" w:type="dxa"/>
            <w:vAlign w:val="bottom"/>
          </w:tcPr>
          <w:p>
            <w:pPr>
              <w:jc w:val="right"/>
              <w:ind w:right="95"/>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560" w:type="dxa"/>
            <w:vAlign w:val="bottom"/>
          </w:tcPr>
          <w:p>
            <w:pPr>
              <w:jc w:val="right"/>
              <w:ind w:right="93"/>
              <w:spacing w:after="0"/>
              <w:rPr>
                <w:sz w:val="20"/>
                <w:szCs w:val="20"/>
                <w:color w:val="auto"/>
              </w:rPr>
            </w:pPr>
            <w:r>
              <w:rPr>
                <w:rFonts w:ascii="Arial" w:cs="Arial" w:eastAsia="Arial" w:hAnsi="Arial"/>
                <w:sz w:val="18"/>
                <w:szCs w:val="18"/>
                <w:color w:val="auto"/>
              </w:rPr>
              <w:t>(1.2)</w:t>
            </w: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items</w:t>
            </w:r>
          </w:p>
        </w:tc>
        <w:tc>
          <w:tcPr>
            <w:tcW w:w="15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.2</w:t>
            </w:r>
          </w:p>
        </w:tc>
      </w:tr>
      <w:tr>
        <w:trPr>
          <w:trHeight w:val="223"/>
        </w:trPr>
        <w:tc>
          <w:tcPr>
            <w:tcW w:w="8000" w:type="dxa"/>
            <w:vAlign w:val="bottom"/>
          </w:tcPr>
          <w:p>
            <w:pPr>
              <w:ind w:left="20"/>
              <w:spacing w:after="0"/>
              <w:rPr>
                <w:sz w:val="20"/>
                <w:szCs w:val="20"/>
                <w:color w:val="auto"/>
              </w:rPr>
            </w:pPr>
            <w:r>
              <w:rPr>
                <w:rFonts w:ascii="Arial" w:cs="Arial" w:eastAsia="Arial" w:hAnsi="Arial"/>
                <w:sz w:val="16"/>
                <w:szCs w:val="16"/>
                <w:color w:val="auto"/>
              </w:rPr>
              <w:t>Effective income tax rate</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24.2 %</w:t>
            </w: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23.2 %</w:t>
            </w:r>
          </w:p>
        </w:tc>
      </w:tr>
      <w:tr>
        <w:trPr>
          <w:trHeight w:val="21"/>
        </w:trPr>
        <w:tc>
          <w:tcPr>
            <w:tcW w:w="80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ind w:left="140" w:hanging="132"/>
        <w:spacing w:after="0"/>
        <w:tabs>
          <w:tab w:leader="none" w:pos="140" w:val="left"/>
        </w:tabs>
        <w:numPr>
          <w:ilvl w:val="0"/>
          <w:numId w:val="15"/>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State income tax benefits are reflected in the total benefits for net income attributable to redeemable non-controlling interests and stock-based compensation plans activity.</w:t>
      </w:r>
    </w:p>
    <w:p>
      <w:pPr>
        <w:spacing w:after="0" w:line="20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GAAP effective tax rate for the first quarter of 2022 was 24.2%, compared with 23.2% in the 2021 quarter. The increase in the GAAP effective tax rate in 2022 from 2021 was primarily due to net losses attributable to redeemable non-controlling interests held in our consolidated investment products and lower discrete tax benefits associated with the settlement of stock-based awards. These increases were partially offset by the favorable impacts of the reduction in the effective state tax rate due to the full phase-in of the 2018 Maryland state tax legislation and the remeasurement of the contingent consideration liability with respect to the earnout arrangement with OHA.</w:t>
      </w:r>
    </w:p>
    <w:p>
      <w:pPr>
        <w:spacing w:after="0" w:line="20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non-GAAP tax rate primarily adjusts for the impact of the consolidated investment products, including the net income attributable to the redeemable non-controlling interests. Our non-GAAP effective tax rate was 24.2% in the first quarter of 2022 compared with 23.7% in first quarter of 2021. The increase in the non-GAAP effective tax rate was primarily attributable to lower discrete tax benefits associated with the settlement of stock-based awards compared to the first quarter of 2021. The non-GAAP effective tax rate for the three months ended March 31, 2022 continues to be favorably impacted by the complete phase-in benefit of the 2018 Maryland state tax legislation.</w:t>
      </w:r>
    </w:p>
    <w:p>
      <w:pPr>
        <w:spacing w:after="0" w:line="20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effective tax rate will continue to experience volatility in future periods as the tax benefits recognized from stock-based compensation are impacted by market fluctuations in our stock price and timing of option exercises as well as the remeasurement of the contingent consideration liability. Our GAAP rate will also be impacted by changes in the proportion of net income that is attributable to our redeemable non-controlling interests and non-controlling interests reflected in permanent equity.</w:t>
      </w:r>
    </w:p>
    <w:p>
      <w:pPr>
        <w:spacing w:after="0" w:line="203"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 xml:space="preserve">We currently estimate that our effective tax rate for the full year 2022, on a GAAP basis, will be in the range of 22.0% to 25.0%. On a non-GAAP basis, the range is </w:t>
      </w:r>
      <w:r>
        <w:rPr>
          <w:rFonts w:ascii="Arial" w:cs="Arial" w:eastAsia="Arial" w:hAnsi="Arial"/>
          <w:sz w:val="17"/>
          <w:szCs w:val="17"/>
          <w:color w:val="auto"/>
        </w:rPr>
        <w:t>23.0% to 25.0%.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NON-GAAP INFORMATION AND RECONCILIATION.</w:t>
      </w:r>
    </w:p>
    <w:p>
      <w:pPr>
        <w:spacing w:after="0" w:line="25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We believe the non-GAAP financial measures below provide relevant and meaningful information to investors about our core operating results. These measures have been established in order to increase transparency for the purpose of evaluating our core business, for comparing current results with prior period results, and to enable more appropriate comparison with industry peers. However, non-GAAP financial measures should not be considered a substitute for financial measures calculated in accordance with U.S. GAAP and may be calculated differently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9" w:name="page30"/>
    <w:bookmarkEnd w:id="29"/>
    <w:p>
      <w:pPr>
        <w:ind w:right="3220"/>
        <w:spacing w:after="0" w:line="287" w:lineRule="auto"/>
        <w:rPr>
          <w:sz w:val="20"/>
          <w:szCs w:val="20"/>
          <w:color w:val="auto"/>
        </w:rPr>
      </w:pPr>
      <w:r>
        <w:rPr>
          <w:rFonts w:ascii="Arial" w:cs="Arial" w:eastAsia="Arial" w:hAnsi="Arial"/>
          <w:sz w:val="18"/>
          <w:szCs w:val="18"/>
          <w:color w:val="auto"/>
        </w:rPr>
        <w:t>The following schedules reconcile certain U.S. GAAP financial measures for the three months ended March 31, 2022 and 2021.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3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340" w:type="dxa"/>
            <w:vAlign w:val="bottom"/>
            <w:tcBorders>
              <w:bottom w:val="single" w:sz="8" w:color="auto"/>
            </w:tcBorders>
            <w:gridSpan w:val="7"/>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Three months ended 3/31/2022</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Operating</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Net operating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Non-operating</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rPr>
              <w:t>Provision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280"/>
              <w:spacing w:after="0" w:line="147" w:lineRule="exact"/>
              <w:rPr>
                <w:sz w:val="20"/>
                <w:szCs w:val="20"/>
                <w:color w:val="auto"/>
              </w:rPr>
            </w:pPr>
            <w:r>
              <w:rPr>
                <w:rFonts w:ascii="Arial" w:cs="Arial" w:eastAsia="Arial" w:hAnsi="Arial"/>
                <w:sz w:val="14"/>
                <w:szCs w:val="14"/>
                <w:b w:val="1"/>
                <w:bCs w:val="1"/>
                <w:color w:val="auto"/>
              </w:rPr>
              <w:t>Net income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rPr>
              <w:t>(benefit) for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tcPr>
          <w:p>
            <w:pPr>
              <w:jc w:val="right"/>
              <w:ind w:right="100"/>
              <w:spacing w:after="0" w:line="145" w:lineRule="exact"/>
              <w:rPr>
                <w:sz w:val="20"/>
                <w:szCs w:val="20"/>
                <w:color w:val="auto"/>
              </w:rPr>
            </w:pPr>
            <w:r>
              <w:rPr>
                <w:rFonts w:ascii="Arial" w:cs="Arial" w:eastAsia="Arial" w:hAnsi="Arial"/>
                <w:sz w:val="14"/>
                <w:szCs w:val="14"/>
                <w:b w:val="1"/>
                <w:bCs w:val="1"/>
                <w:color w:val="auto"/>
              </w:rPr>
              <w:t>attributable to 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4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expenses</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income</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income (loss)</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income taxes</w:t>
            </w:r>
            <w:r>
              <w:rPr>
                <w:rFonts w:ascii="Arial" w:cs="Arial" w:eastAsia="Arial" w:hAnsi="Arial"/>
                <w:sz w:val="9"/>
                <w:szCs w:val="9"/>
                <w:b w:val="1"/>
                <w:bCs w:val="1"/>
                <w:color w:val="auto"/>
              </w:rPr>
              <w:t>(6)</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Rowe Price</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220"/>
              <w:spacing w:after="0" w:line="189"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(7)</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348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Consolidated T. Rowe Price</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101.4</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20.3</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30.0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4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80" w:type="dxa"/>
            <w:vAlign w:val="bottom"/>
          </w:tcPr>
          <w:p>
            <w:pPr>
              <w:ind w:left="140"/>
              <w:spacing w:after="0" w:line="230" w:lineRule="exact"/>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55.3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480" w:type="dxa"/>
            <w:vAlign w:val="bottom"/>
            <w:shd w:val="clear" w:color="auto" w:fill="CCEEFF"/>
          </w:tcPr>
          <w:p>
            <w:pPr>
              <w:ind w:left="120"/>
              <w:spacing w:after="0" w:line="230" w:lineRule="exact"/>
              <w:rPr>
                <w:sz w:val="20"/>
                <w:szCs w:val="20"/>
                <w:color w:val="auto"/>
              </w:rPr>
            </w:pPr>
            <w:r>
              <w:rPr>
                <w:rFonts w:ascii="Arial" w:cs="Arial" w:eastAsia="Arial" w:hAnsi="Arial"/>
                <w:sz w:val="16"/>
                <w:szCs w:val="16"/>
                <w:color w:val="auto"/>
              </w:rPr>
              <w:t>Acquisition-related transaction costs</w:t>
            </w:r>
            <w:r>
              <w:rPr>
                <w:rFonts w:ascii="Arial" w:cs="Arial" w:eastAsia="Arial" w:hAnsi="Arial"/>
                <w:sz w:val="21"/>
                <w:szCs w:val="21"/>
                <w:color w:val="auto"/>
                <w:vertAlign w:val="superscript"/>
              </w:rPr>
              <w:t>(3)</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480" w:type="dxa"/>
            <w:vAlign w:val="bottom"/>
          </w:tcPr>
          <w:p>
            <w:pPr>
              <w:ind w:left="120"/>
              <w:spacing w:after="0" w:line="230" w:lineRule="exact"/>
              <w:rPr>
                <w:sz w:val="20"/>
                <w:szCs w:val="20"/>
                <w:color w:val="auto"/>
              </w:rPr>
            </w:pPr>
            <w:r>
              <w:rPr>
                <w:rFonts w:ascii="Arial" w:cs="Arial" w:eastAsia="Arial" w:hAnsi="Arial"/>
                <w:sz w:val="16"/>
                <w:szCs w:val="16"/>
                <w:color w:val="auto"/>
              </w:rPr>
              <w:t>Acquisition-related contingent consideration</w:t>
            </w:r>
            <w:r>
              <w:rPr>
                <w:rFonts w:ascii="Arial" w:cs="Arial" w:eastAsia="Arial" w:hAnsi="Arial"/>
                <w:sz w:val="21"/>
                <w:szCs w:val="21"/>
                <w:color w:val="auto"/>
                <w:vertAlign w:val="superscript"/>
              </w:rPr>
              <w:t>(4)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(18.2)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4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Acquisition-related compensation</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(13.6)</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13.6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8.2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480" w:type="dxa"/>
            <w:vAlign w:val="bottom"/>
            <w:shd w:val="clear" w:color="auto" w:fill="CCEEFF"/>
          </w:tcPr>
          <w:p>
            <w:pPr>
              <w:ind w:left="120"/>
              <w:spacing w:after="0" w:line="216" w:lineRule="exact"/>
              <w:rPr>
                <w:sz w:val="20"/>
                <w:szCs w:val="20"/>
                <w:color w:val="auto"/>
              </w:rPr>
            </w:pPr>
            <w:r>
              <w:rPr>
                <w:rFonts w:ascii="Arial" w:cs="Arial" w:eastAsia="Arial" w:hAnsi="Arial"/>
                <w:sz w:val="16"/>
                <w:szCs w:val="16"/>
                <w:color w:val="auto"/>
              </w:rPr>
              <w:t>arrangements</w:t>
            </w:r>
            <w:r>
              <w:rPr>
                <w:rFonts w:ascii="Arial" w:cs="Arial" w:eastAsia="Arial" w:hAnsi="Arial"/>
                <w:sz w:val="21"/>
                <w:szCs w:val="21"/>
                <w:color w:val="auto"/>
                <w:vertAlign w:val="superscript"/>
              </w:rPr>
              <w:t>(4)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480" w:type="dxa"/>
            <w:vAlign w:val="bottom"/>
          </w:tcPr>
          <w:p>
            <w:pPr>
              <w:ind w:left="120"/>
              <w:spacing w:after="0" w:line="162" w:lineRule="exact"/>
              <w:rPr>
                <w:sz w:val="20"/>
                <w:szCs w:val="20"/>
                <w:color w:val="auto"/>
              </w:rPr>
            </w:pPr>
            <w:r>
              <w:rPr>
                <w:rFonts w:ascii="Arial" w:cs="Arial" w:eastAsia="Arial" w:hAnsi="Arial"/>
                <w:sz w:val="16"/>
                <w:szCs w:val="16"/>
                <w:color w:val="auto"/>
              </w:rPr>
              <w:t>Acquisition-related amortization - investments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(27.1)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40.3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16.1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24.2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480" w:type="dxa"/>
            <w:vAlign w:val="bottom"/>
          </w:tcPr>
          <w:p>
            <w:pPr>
              <w:ind w:left="120"/>
              <w:spacing w:after="0" w:line="216" w:lineRule="exact"/>
              <w:rPr>
                <w:sz w:val="20"/>
                <w:szCs w:val="20"/>
                <w:color w:val="auto"/>
              </w:rPr>
            </w:pPr>
            <w:r>
              <w:rPr>
                <w:rFonts w:ascii="Arial" w:cs="Arial" w:eastAsia="Arial" w:hAnsi="Arial"/>
                <w:sz w:val="16"/>
                <w:szCs w:val="16"/>
                <w:color w:val="auto"/>
              </w:rPr>
              <w:t>and intangible assets</w:t>
            </w:r>
            <w:r>
              <w:rPr>
                <w:rFonts w:ascii="Arial" w:cs="Arial" w:eastAsia="Arial" w:hAnsi="Arial"/>
                <w:sz w:val="21"/>
                <w:szCs w:val="21"/>
                <w:color w:val="auto"/>
                <w:vertAlign w:val="superscript"/>
              </w:rPr>
              <w:t>(4)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480" w:type="dxa"/>
            <w:vAlign w:val="bottom"/>
            <w:shd w:val="clear" w:color="auto" w:fill="CCEEFF"/>
          </w:tcPr>
          <w:p>
            <w:pPr>
              <w:ind w:left="140"/>
              <w:spacing w:after="0" w:line="230"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(5)</w:t>
            </w: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1,039.1</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838.0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197.3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616.9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118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340" w:type="dxa"/>
            <w:vAlign w:val="bottom"/>
            <w:tcBorders>
              <w:bottom w:val="single" w:sz="8" w:color="auto"/>
            </w:tcBorders>
            <w:gridSpan w:val="7"/>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Three months ended 3/31/2021</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Operating</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operating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Non-operating</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340"/>
              <w:spacing w:after="0" w:line="143" w:lineRule="exact"/>
              <w:rPr>
                <w:sz w:val="20"/>
                <w:szCs w:val="20"/>
                <w:color w:val="auto"/>
              </w:rPr>
            </w:pPr>
            <w:r>
              <w:rPr>
                <w:rFonts w:ascii="Arial" w:cs="Arial" w:eastAsia="Arial" w:hAnsi="Arial"/>
                <w:sz w:val="14"/>
                <w:szCs w:val="14"/>
                <w:b w:val="1"/>
                <w:bCs w:val="1"/>
                <w:color w:val="auto"/>
              </w:rPr>
              <w:t>Provision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360"/>
              <w:spacing w:after="0" w:line="143" w:lineRule="exact"/>
              <w:rPr>
                <w:sz w:val="20"/>
                <w:szCs w:val="20"/>
                <w:color w:val="auto"/>
              </w:rPr>
            </w:pPr>
            <w:r>
              <w:rPr>
                <w:rFonts w:ascii="Arial" w:cs="Arial" w:eastAsia="Arial" w:hAnsi="Arial"/>
                <w:sz w:val="14"/>
                <w:szCs w:val="14"/>
                <w:b w:val="1"/>
                <w:bCs w:val="1"/>
                <w:color w:val="auto"/>
              </w:rPr>
              <w:t>Net income</w:t>
            </w:r>
          </w:p>
        </w:tc>
        <w:tc>
          <w:tcPr>
            <w:tcW w:w="20" w:type="dxa"/>
            <w:vAlign w:val="bottom"/>
          </w:tcPr>
          <w:p>
            <w:pPr>
              <w:spacing w:after="0"/>
              <w:rPr>
                <w:sz w:val="12"/>
                <w:szCs w:val="12"/>
                <w:color w:val="auto"/>
              </w:rPr>
            </w:pPr>
          </w:p>
        </w:tc>
        <w:tc>
          <w:tcPr>
            <w:tcW w:w="128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rPr>
              <w:t>(benefit) for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attributable to T.</w:t>
            </w:r>
          </w:p>
        </w:tc>
        <w:tc>
          <w:tcPr>
            <w:tcW w:w="20" w:type="dxa"/>
            <w:vAlign w:val="bottom"/>
          </w:tcPr>
          <w:p>
            <w:pPr>
              <w:spacing w:after="0"/>
              <w:rPr>
                <w:sz w:val="12"/>
                <w:szCs w:val="12"/>
                <w:color w:val="auto"/>
              </w:rPr>
            </w:pPr>
          </w:p>
        </w:tc>
        <w:tc>
          <w:tcPr>
            <w:tcW w:w="12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expenses</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income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income (loss)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3"/>
          </w:tcPr>
          <w:p>
            <w:pPr>
              <w:spacing w:after="0" w:line="189" w:lineRule="exact"/>
              <w:rPr>
                <w:sz w:val="20"/>
                <w:szCs w:val="20"/>
                <w:color w:val="auto"/>
              </w:rPr>
            </w:pPr>
            <w:r>
              <w:rPr>
                <w:rFonts w:ascii="Arial" w:cs="Arial" w:eastAsia="Arial" w:hAnsi="Arial"/>
                <w:sz w:val="14"/>
                <w:szCs w:val="14"/>
                <w:b w:val="1"/>
                <w:bCs w:val="1"/>
                <w:color w:val="auto"/>
              </w:rPr>
              <w:t>income taxes</w:t>
            </w:r>
            <w:r>
              <w:rPr>
                <w:rFonts w:ascii="Arial" w:cs="Arial" w:eastAsia="Arial" w:hAnsi="Arial"/>
                <w:sz w:val="18"/>
                <w:szCs w:val="18"/>
                <w:b w:val="1"/>
                <w:bCs w:val="1"/>
                <w:color w:val="auto"/>
                <w:vertAlign w:val="superscript"/>
              </w:rPr>
              <w:t>(6)</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Rowe Price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9"/>
              </w:rPr>
              <w:t>per share</w:t>
            </w:r>
            <w:r>
              <w:rPr>
                <w:rFonts w:ascii="Arial" w:cs="Arial" w:eastAsia="Arial" w:hAnsi="Arial"/>
                <w:sz w:val="9"/>
                <w:szCs w:val="9"/>
                <w:b w:val="1"/>
                <w:bCs w:val="1"/>
                <w:color w:val="auto"/>
                <w:w w:val="99"/>
              </w:rPr>
              <w:t>(7)</w:t>
            </w:r>
          </w:p>
        </w:tc>
        <w:tc>
          <w:tcPr>
            <w:tcW w:w="0" w:type="dxa"/>
            <w:vAlign w:val="bottom"/>
          </w:tcPr>
          <w:p>
            <w:pPr>
              <w:spacing w:after="0"/>
              <w:rPr>
                <w:sz w:val="1"/>
                <w:szCs w:val="1"/>
                <w:color w:val="auto"/>
              </w:rPr>
            </w:pPr>
          </w:p>
        </w:tc>
      </w:tr>
      <w:tr>
        <w:trPr>
          <w:trHeight w:val="223"/>
        </w:trPr>
        <w:tc>
          <w:tcPr>
            <w:tcW w:w="35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933.6</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893.2</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749.4</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Non-GAAP adjustments: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3480" w:type="dxa"/>
            <w:vAlign w:val="bottom"/>
            <w:shd w:val="clear" w:color="auto" w:fill="CCEEFF"/>
          </w:tcPr>
          <w:p>
            <w:pPr>
              <w:ind w:left="120"/>
              <w:spacing w:after="0" w:line="163" w:lineRule="exact"/>
              <w:rPr>
                <w:sz w:val="20"/>
                <w:szCs w:val="20"/>
                <w:color w:val="auto"/>
              </w:rPr>
            </w:pPr>
            <w:r>
              <w:rPr>
                <w:rFonts w:ascii="Arial" w:cs="Arial" w:eastAsia="Arial" w:hAnsi="Arial"/>
                <w:sz w:val="16"/>
                <w:szCs w:val="16"/>
                <w:color w:val="auto"/>
              </w:rPr>
              <w:t>Consolidated T. Rowe Price</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80" w:type="dxa"/>
            <w:vAlign w:val="bottom"/>
          </w:tcPr>
          <w:p>
            <w:pPr>
              <w:ind w:left="120"/>
              <w:spacing w:after="0" w:line="230" w:lineRule="exact"/>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3480" w:type="dxa"/>
            <w:vAlign w:val="bottom"/>
            <w:shd w:val="clear" w:color="auto" w:fill="CCEEFF"/>
          </w:tcPr>
          <w:p>
            <w:pPr>
              <w:ind w:left="120"/>
              <w:spacing w:after="0" w:line="230"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(5)</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gridSpan w:val="2"/>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21"/>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340" w:right="40" w:hanging="332"/>
        <w:spacing w:after="0" w:line="244" w:lineRule="auto"/>
        <w:tabs>
          <w:tab w:leader="none" w:pos="338" w:val="left"/>
        </w:tabs>
        <w:numPr>
          <w:ilvl w:val="0"/>
          <w:numId w:val="16"/>
        </w:numPr>
        <w:rPr>
          <w:rFonts w:ascii="Arial" w:cs="Arial" w:eastAsia="Arial" w:hAnsi="Arial"/>
          <w:sz w:val="22"/>
          <w:szCs w:val="22"/>
          <w:color w:val="auto"/>
          <w:vertAlign w:val="superscript"/>
        </w:rPr>
      </w:pPr>
      <w:r>
        <w:rPr>
          <w:rFonts w:ascii="Arial" w:cs="Arial" w:eastAsia="Arial" w:hAnsi="Arial"/>
          <w:sz w:val="17"/>
          <w:szCs w:val="17"/>
          <w:color w:val="auto"/>
        </w:rPr>
        <w:t>These non-GAAP adjustments remove the impact that the consolidated T. Rowe Price investment products have on our U.S. GAAP consolidated statements of income. Specifically, we add back the operating expenses and subtract the investment income of the consolidated T. Rowe Price investment products. The adjustment to our operating expenses represents the operating expenses of the consolidated products, net of the elimination of related management and administrative fees. The adjustment to net income attributable to T. Rowe Price represents the net income of the consolidated products, net of redeemable non-controlling interests. We remove the impact of the consolidated T. Rowe Price investment products as we believe they impact the reader’s ability to understand our core operating results.</w:t>
      </w:r>
    </w:p>
    <w:p>
      <w:pPr>
        <w:spacing w:after="0" w:line="220" w:lineRule="exact"/>
        <w:rPr>
          <w:rFonts w:ascii="Arial" w:cs="Arial" w:eastAsia="Arial" w:hAnsi="Arial"/>
          <w:sz w:val="22"/>
          <w:szCs w:val="22"/>
          <w:color w:val="auto"/>
          <w:vertAlign w:val="superscript"/>
        </w:rPr>
      </w:pPr>
    </w:p>
    <w:p>
      <w:pPr>
        <w:ind w:left="340" w:right="20" w:hanging="332"/>
        <w:spacing w:after="0" w:line="244" w:lineRule="auto"/>
        <w:tabs>
          <w:tab w:leader="none" w:pos="338" w:val="left"/>
        </w:tabs>
        <w:numPr>
          <w:ilvl w:val="0"/>
          <w:numId w:val="16"/>
        </w:numPr>
        <w:rPr>
          <w:rFonts w:ascii="Arial" w:cs="Arial" w:eastAsia="Arial" w:hAnsi="Arial"/>
          <w:sz w:val="22"/>
          <w:szCs w:val="22"/>
          <w:color w:val="auto"/>
          <w:vertAlign w:val="superscript"/>
        </w:rPr>
      </w:pPr>
      <w:r>
        <w:rPr>
          <w:rFonts w:ascii="Arial" w:cs="Arial" w:eastAsia="Arial" w:hAnsi="Arial"/>
          <w:sz w:val="17"/>
          <w:szCs w:val="17"/>
          <w:color w:val="auto"/>
        </w:rPr>
        <w:t>These non-GAAP adjustments remove the compensation expense impact from market valuation changes in the supplemental savings plan liability and the related net gains (losses) on investments designated as an economic hedge against the related liability. Amounts deferred under the supplemental savings plan are adjusted for appreciation (depreciation) of hypothetical investments chosen by participants. We use T. Rowe Price investment products to economically hedge the exposure to these market movements. We believe it is useful to offset the non-operating investment income (loss) realized on the economic hedges against the related compensation expense and remove the net impact to help the reader's ability to understand our core operating results and to increase comparability period to period.</w:t>
      </w:r>
    </w:p>
    <w:p>
      <w:pPr>
        <w:spacing w:after="0" w:line="242" w:lineRule="exact"/>
        <w:rPr>
          <w:rFonts w:ascii="Arial" w:cs="Arial" w:eastAsia="Arial" w:hAnsi="Arial"/>
          <w:sz w:val="22"/>
          <w:szCs w:val="22"/>
          <w:color w:val="auto"/>
          <w:vertAlign w:val="superscript"/>
        </w:rPr>
      </w:pPr>
    </w:p>
    <w:p>
      <w:pPr>
        <w:ind w:left="340" w:right="40" w:hanging="332"/>
        <w:spacing w:after="0" w:line="221" w:lineRule="auto"/>
        <w:tabs>
          <w:tab w:leader="none" w:pos="275"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This non-GAAP adjustment removes the transactions costs incurred related to the acquisition of OHA. Management believes adjusting for these charges help the reader's ability to understand the firm's core operating results and to increase comparability period to period.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30" w:name="page31"/>
    <w:bookmarkEnd w:id="30"/>
    <w:p>
      <w:pPr>
        <w:ind w:left="340" w:hanging="332"/>
        <w:spacing w:after="0" w:line="241" w:lineRule="auto"/>
        <w:tabs>
          <w:tab w:leader="none" w:pos="341"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These non-GAAP adjustments remove the impact of acquisition-related amortization and costs including amortization of intangible assets, the recurring fair value remeasurements of the contingent consideration liability, amortization of acquired investment and non-controlling interest basis differences and amortization of compensation-related arrangements. Management believes adjusting for these charges helps the reader's ability to understand the firm's core operating results and to increase comparability period to period.</w:t>
      </w:r>
    </w:p>
    <w:p>
      <w:pPr>
        <w:spacing w:after="0" w:line="209" w:lineRule="exact"/>
        <w:rPr>
          <w:rFonts w:ascii="Arial" w:cs="Arial" w:eastAsia="Arial" w:hAnsi="Arial"/>
          <w:sz w:val="22"/>
          <w:szCs w:val="22"/>
          <w:color w:val="auto"/>
          <w:vertAlign w:val="superscript"/>
        </w:rPr>
      </w:pPr>
    </w:p>
    <w:p>
      <w:pPr>
        <w:ind w:left="340" w:right="280" w:hanging="332"/>
        <w:spacing w:after="0" w:line="245" w:lineRule="auto"/>
        <w:tabs>
          <w:tab w:leader="none" w:pos="338"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This non-GAAP adjustment represents the other non-operating income (loss) and the net gains (losses) earned on our non-consolidated investment portfolio that are not designated as economic hedges of the supplemental savings plan liability, and non-consolidated seed investments and other investments that are not part of the cash and discretionary investment portfolio. We retain the investment gains recognized on our non-consolidated cash and discretionary investments as these assets and related income (loss) are considered part of our core operations. We believe adjusting for these non-operating income (loss) items helps the reader’s ability to understand our core operating results and increases comparability to prior years. Additionally, we do not emphasize the impact of the portion of non-operating income (loss) removed when managing and evaluating our core performance.</w:t>
      </w:r>
    </w:p>
    <w:p>
      <w:pPr>
        <w:spacing w:after="0" w:line="231" w:lineRule="exact"/>
        <w:rPr>
          <w:rFonts w:ascii="Arial" w:cs="Arial" w:eastAsia="Arial" w:hAnsi="Arial"/>
          <w:sz w:val="22"/>
          <w:szCs w:val="22"/>
          <w:color w:val="auto"/>
          <w:vertAlign w:val="superscript"/>
        </w:rPr>
      </w:pPr>
    </w:p>
    <w:p>
      <w:pPr>
        <w:ind w:left="340" w:right="140" w:hanging="332"/>
        <w:spacing w:after="0" w:line="234" w:lineRule="auto"/>
        <w:tabs>
          <w:tab w:leader="none" w:pos="338"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 xml:space="preserve">The income tax impacts were calculated in order to achieve an overall non-GAAP effective tax rate for the three months ended March 31, 2022 and 2021 of 24.2% and 23.7%, </w:t>
      </w:r>
      <w:r>
        <w:rPr>
          <w:rFonts w:ascii="Arial" w:cs="Arial" w:eastAsia="Arial" w:hAnsi="Arial"/>
          <w:sz w:val="16"/>
          <w:szCs w:val="16"/>
          <w:color w:val="auto"/>
        </w:rPr>
        <w:t>re</w:t>
      </w:r>
      <w:r>
        <w:rPr>
          <w:rFonts w:ascii="Arial" w:cs="Arial" w:eastAsia="Arial" w:hAnsi="Arial"/>
          <w:sz w:val="17"/>
          <w:szCs w:val="17"/>
          <w:color w:val="auto"/>
        </w:rPr>
        <w:t>spectively. The firm estimates that its effective tax rate for the full-year 2022 on a non-GAAP basis will be in the range of 23.0% to 25.0%.</w:t>
      </w:r>
    </w:p>
    <w:p>
      <w:pPr>
        <w:spacing w:after="0" w:line="222" w:lineRule="exact"/>
        <w:rPr>
          <w:rFonts w:ascii="Arial" w:cs="Arial" w:eastAsia="Arial" w:hAnsi="Arial"/>
          <w:sz w:val="22"/>
          <w:szCs w:val="22"/>
          <w:color w:val="auto"/>
          <w:vertAlign w:val="superscript"/>
        </w:rPr>
      </w:pPr>
    </w:p>
    <w:p>
      <w:pPr>
        <w:jc w:val="both"/>
        <w:ind w:left="340" w:right="180" w:hanging="332"/>
        <w:spacing w:after="0" w:line="239" w:lineRule="auto"/>
        <w:tabs>
          <w:tab w:leader="none" w:pos="338"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This non-GAAP measure was calculated by applying the two-class method to adjusted net income attributable to T. Rowe Price divided by the weighted-average common shares outstanding assuming dilution. The calculation of adjusted net income allocated to common stockholders is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2640" w:type="dxa"/>
            <w:vAlign w:val="bottom"/>
            <w:tcBorders>
              <w:bottom w:val="single" w:sz="8" w:color="auto"/>
            </w:tcBorders>
            <w:gridSpan w:val="3"/>
            <w:shd w:val="clear" w:color="auto" w:fill="CCEEFF"/>
          </w:tcPr>
          <w:p>
            <w:pPr>
              <w:jc w:val="right"/>
              <w:ind w:right="661"/>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3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3/31/2022</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3/31/2021</w:t>
            </w:r>
          </w:p>
        </w:tc>
      </w:tr>
      <w:tr>
        <w:trPr>
          <w:trHeight w:val="211"/>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income attributable to T. Rowe Price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616.9</w:t>
            </w: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712.0</w:t>
            </w:r>
          </w:p>
        </w:tc>
      </w:tr>
      <w:tr>
        <w:trPr>
          <w:trHeight w:val="215"/>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adjusted net income allocated to outstanding restricted stock and stock unit holders</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18.9</w:t>
            </w:r>
          </w:p>
        </w:tc>
      </w:tr>
      <w:tr>
        <w:trPr>
          <w:trHeight w:val="235"/>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income allocated to common stockholders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602.8</w:t>
            </w:r>
          </w:p>
        </w:tc>
        <w:tc>
          <w:tcPr>
            <w:tcW w:w="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693.1</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CAPITAL RESOURCES AND LIQUIDITY.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Sources of Liquidity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We have ample liquidity, including cash and investments in T. Rowe Price products,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3/31/2022</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12/31/2021</w:t>
            </w:r>
          </w:p>
        </w:tc>
      </w:tr>
      <w:tr>
        <w:trPr>
          <w:trHeight w:val="223"/>
        </w:trPr>
        <w:tc>
          <w:tcPr>
            <w:tcW w:w="82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1,997.5</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1,523.1</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Discretionary investments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554.1</w:t>
            </w:r>
          </w:p>
        </w:tc>
      </w:tr>
      <w:tr>
        <w:trPr>
          <w:trHeight w:val="223"/>
        </w:trPr>
        <w:tc>
          <w:tcPr>
            <w:tcW w:w="8240" w:type="dxa"/>
            <w:vAlign w:val="bottom"/>
          </w:tcPr>
          <w:p>
            <w:pPr>
              <w:ind w:left="20"/>
              <w:spacing w:after="0"/>
              <w:rPr>
                <w:sz w:val="20"/>
                <w:szCs w:val="20"/>
                <w:color w:val="auto"/>
              </w:rPr>
            </w:pPr>
            <w:r>
              <w:rPr>
                <w:rFonts w:ascii="Arial" w:cs="Arial" w:eastAsia="Arial" w:hAnsi="Arial"/>
                <w:sz w:val="16"/>
                <w:szCs w:val="16"/>
                <w:color w:val="auto"/>
              </w:rPr>
              <w:t>Total cash and discretionary investments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2,573.6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2,077.2</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seed capital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1,300.1</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Investments used to hedge the supplemental savings plan liability</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881.5</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and investments in T. Rowe Price products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4,258.8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Our discretionary investment portfolio is comprised of short duration bond funds, which typically yield higher than money market rates,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asset allocation products. Cash and discretionary investments experienced market losses of $23.8 million in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2022 compared to investment gains of $13.7 million in the 2021 quarter. Our subsidiaries outside the United States hold cash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discretionary investments of $869.1 million at March 31, 2022 and $764.2 million at December 31, 2021. Given the availability of our financial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resources and cash expected to be generated through future operations, we do not maintain an available external source of additional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liquidity.</w:t>
      </w:r>
    </w:p>
    <w:p>
      <w:pPr>
        <w:spacing w:after="0" w:line="234"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Our seed capital investments are redeemable, although we generally expect to be invested for several years for the products to build an investment performance history and until unrelated third-party investors substantially reduce our relative ownership percentage.</w:t>
      </w:r>
    </w:p>
    <w:p>
      <w:pPr>
        <w:spacing w:after="0" w:line="18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cash and investment presentation on the unaudited condensed consolidated balance sheet is based on the accounting treatment for the cash equivalent or investment item. The following table details how T. Rowe Price’s</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31" w:name="page32"/>
    <w:bookmarkEnd w:id="31"/>
    <w:p>
      <w:pPr>
        <w:ind w:right="780"/>
        <w:spacing w:after="0" w:line="287" w:lineRule="auto"/>
        <w:rPr>
          <w:sz w:val="20"/>
          <w:szCs w:val="20"/>
          <w:color w:val="auto"/>
        </w:rPr>
      </w:pPr>
      <w:r>
        <w:rPr>
          <w:rFonts w:ascii="Arial" w:cs="Arial" w:eastAsia="Arial" w:hAnsi="Arial"/>
          <w:sz w:val="18"/>
          <w:szCs w:val="18"/>
          <w:color w:val="auto"/>
        </w:rPr>
        <w:t>interests in cash and investments relate to where they are presented on the unaudited condensed consolidated balance sheet as of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4972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497205"/>
                    </a:xfrm>
                    <a:prstGeom prst="rect">
                      <a:avLst/>
                    </a:prstGeom>
                    <a:noFill/>
                  </pic:spPr>
                </pic:pic>
              </a:graphicData>
            </a:graphic>
          </wp:anchor>
        </w:drawing>
      </w:r>
    </w:p>
    <w:p>
      <w:pPr>
        <w:spacing w:after="0" w:line="293" w:lineRule="exact"/>
        <w:rPr>
          <w:sz w:val="20"/>
          <w:szCs w:val="20"/>
          <w:color w:val="auto"/>
        </w:rPr>
      </w:pPr>
    </w:p>
    <w:p>
      <w:pPr>
        <w:jc w:val="center"/>
        <w:ind w:left="6700"/>
        <w:spacing w:after="0"/>
        <w:rPr>
          <w:sz w:val="20"/>
          <w:szCs w:val="20"/>
          <w:color w:val="auto"/>
        </w:rPr>
      </w:pPr>
      <w:r>
        <w:rPr>
          <w:rFonts w:ascii="Arial" w:cs="Arial" w:eastAsia="Arial" w:hAnsi="Arial"/>
          <w:sz w:val="14"/>
          <w:szCs w:val="14"/>
          <w:b w:val="1"/>
          <w:bCs w:val="1"/>
          <w:color w:val="auto"/>
        </w:rPr>
        <w:t>Net assets of</w:t>
      </w:r>
    </w:p>
    <w:p>
      <w:pPr>
        <w:jc w:val="center"/>
        <w:ind w:left="6700"/>
        <w:spacing w:after="0" w:line="221" w:lineRule="auto"/>
        <w:rPr>
          <w:sz w:val="20"/>
          <w:szCs w:val="20"/>
          <w:color w:val="auto"/>
        </w:rPr>
      </w:pPr>
      <w:r>
        <w:rPr>
          <w:rFonts w:ascii="Arial" w:cs="Arial" w:eastAsia="Arial" w:hAnsi="Arial"/>
          <w:sz w:val="14"/>
          <w:szCs w:val="14"/>
          <w:b w:val="1"/>
          <w:bCs w:val="1"/>
          <w:color w:val="auto"/>
        </w:rPr>
        <w:t>consolidated T.</w:t>
      </w:r>
    </w:p>
    <w:p>
      <w:pPr>
        <w:ind w:left="8600"/>
        <w:spacing w:after="0" w:line="221" w:lineRule="auto"/>
        <w:rPr>
          <w:sz w:val="20"/>
          <w:szCs w:val="20"/>
          <w:color w:val="auto"/>
        </w:rPr>
      </w:pPr>
      <w:r>
        <w:rPr>
          <w:rFonts w:ascii="Arial" w:cs="Arial" w:eastAsia="Arial" w:hAnsi="Arial"/>
          <w:sz w:val="14"/>
          <w:szCs w:val="14"/>
          <w:b w:val="1"/>
          <w:bCs w:val="1"/>
          <w:color w:val="auto"/>
        </w:rPr>
        <w:t>Rowe Price</w:t>
      </w:r>
    </w:p>
    <w:tbl>
      <w:tblPr>
        <w:tblLayout w:type="fixed"/>
        <w:tblInd w:w="0" w:type="dxa"/>
        <w:tblCellMar>
          <w:top w:w="0" w:type="dxa"/>
          <w:left w:w="0" w:type="dxa"/>
          <w:bottom w:w="0" w:type="dxa"/>
          <w:right w:w="0" w:type="dxa"/>
        </w:tblCellMar>
      </w:tblPr>
      <w:tr>
        <w:trPr>
          <w:trHeight w:val="144"/>
        </w:trPr>
        <w:tc>
          <w:tcPr>
            <w:tcW w:w="5180" w:type="dxa"/>
            <w:vAlign w:val="bottom"/>
            <w:gridSpan w:val="2"/>
            <w:vMerge w:val="restart"/>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2"/>
                <w:szCs w:val="12"/>
                <w:color w:val="auto"/>
              </w:rPr>
            </w:pPr>
          </w:p>
        </w:tc>
        <w:tc>
          <w:tcPr>
            <w:tcW w:w="138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rPr>
              <w:t>Cash and cash</w:t>
            </w:r>
          </w:p>
        </w:tc>
        <w:tc>
          <w:tcPr>
            <w:tcW w:w="200" w:type="dxa"/>
            <w:vAlign w:val="bottom"/>
          </w:tcPr>
          <w:p>
            <w:pPr>
              <w:spacing w:after="0"/>
              <w:rPr>
                <w:sz w:val="12"/>
                <w:szCs w:val="12"/>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Investments</w:t>
            </w:r>
          </w:p>
        </w:tc>
        <w:tc>
          <w:tcPr>
            <w:tcW w:w="220" w:type="dxa"/>
            <w:vAlign w:val="bottom"/>
          </w:tcPr>
          <w:p>
            <w:pPr>
              <w:spacing w:after="0"/>
              <w:rPr>
                <w:sz w:val="12"/>
                <w:szCs w:val="12"/>
                <w:color w:val="auto"/>
              </w:rPr>
            </w:pPr>
          </w:p>
        </w:tc>
        <w:tc>
          <w:tcPr>
            <w:tcW w:w="1320" w:type="dxa"/>
            <w:vAlign w:val="bottom"/>
            <w:gridSpan w:val="2"/>
          </w:tcPr>
          <w:p>
            <w:pPr>
              <w:ind w:left="120"/>
              <w:spacing w:after="0" w:line="145" w:lineRule="exact"/>
              <w:rPr>
                <w:sz w:val="20"/>
                <w:szCs w:val="20"/>
                <w:color w:val="auto"/>
              </w:rPr>
            </w:pPr>
            <w:r>
              <w:rPr>
                <w:rFonts w:ascii="Arial" w:cs="Arial" w:eastAsia="Arial" w:hAnsi="Arial"/>
                <w:sz w:val="14"/>
                <w:szCs w:val="14"/>
                <w:b w:val="1"/>
                <w:bCs w:val="1"/>
                <w:color w:val="auto"/>
              </w:rPr>
              <w:t>investment</w:t>
            </w:r>
          </w:p>
        </w:tc>
        <w:tc>
          <w:tcPr>
            <w:tcW w:w="260" w:type="dxa"/>
            <w:vAlign w:val="bottom"/>
          </w:tcPr>
          <w:p>
            <w:pPr>
              <w:spacing w:after="0"/>
              <w:rPr>
                <w:sz w:val="12"/>
                <w:szCs w:val="12"/>
                <w:color w:val="auto"/>
              </w:rPr>
            </w:pPr>
          </w:p>
        </w:tc>
        <w:tc>
          <w:tcPr>
            <w:tcW w:w="118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3/31/2022</w:t>
            </w:r>
          </w:p>
        </w:tc>
        <w:tc>
          <w:tcPr>
            <w:tcW w:w="0" w:type="dxa"/>
            <w:vAlign w:val="bottom"/>
          </w:tcPr>
          <w:p>
            <w:pPr>
              <w:spacing w:after="0"/>
              <w:rPr>
                <w:sz w:val="1"/>
                <w:szCs w:val="1"/>
                <w:color w:val="auto"/>
              </w:rPr>
            </w:pPr>
          </w:p>
        </w:tc>
      </w:tr>
      <w:tr>
        <w:trPr>
          <w:trHeight w:val="189"/>
        </w:trPr>
        <w:tc>
          <w:tcPr>
            <w:tcW w:w="5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equivalents</w:t>
            </w:r>
          </w:p>
        </w:tc>
        <w:tc>
          <w:tcPr>
            <w:tcW w:w="2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products</w:t>
            </w:r>
            <w:r>
              <w:rPr>
                <w:rFonts w:ascii="Arial" w:cs="Arial" w:eastAsia="Arial" w:hAnsi="Arial"/>
                <w:sz w:val="9"/>
                <w:szCs w:val="9"/>
                <w:b w:val="1"/>
                <w:bCs w:val="1"/>
                <w:color w:val="auto"/>
              </w:rPr>
              <w:t>(1)</w:t>
            </w:r>
          </w:p>
        </w:tc>
        <w:tc>
          <w:tcPr>
            <w:tcW w:w="2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Cash and discretionary investments</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1,997.5</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502.2</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2,573.6</w:t>
            </w:r>
          </w:p>
        </w:tc>
        <w:tc>
          <w:tcPr>
            <w:tcW w:w="0" w:type="dxa"/>
            <w:vAlign w:val="bottom"/>
          </w:tcPr>
          <w:p>
            <w:pPr>
              <w:spacing w:after="0"/>
              <w:rPr>
                <w:sz w:val="1"/>
                <w:szCs w:val="1"/>
                <w:color w:val="auto"/>
              </w:rPr>
            </w:pPr>
          </w:p>
        </w:tc>
      </w:tr>
      <w:tr>
        <w:trPr>
          <w:trHeight w:val="230"/>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Seed capital investments</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1,096.6</w:t>
            </w:r>
          </w:p>
        </w:tc>
        <w:tc>
          <w:tcPr>
            <w:tcW w:w="0" w:type="dxa"/>
            <w:vAlign w:val="bottom"/>
          </w:tcPr>
          <w:p>
            <w:pPr>
              <w:spacing w:after="0"/>
              <w:rPr>
                <w:sz w:val="1"/>
                <w:szCs w:val="1"/>
                <w:color w:val="auto"/>
              </w:rPr>
            </w:pPr>
          </w:p>
        </w:tc>
      </w:tr>
      <w:tr>
        <w:trPr>
          <w:trHeight w:val="175"/>
        </w:trPr>
        <w:tc>
          <w:tcPr>
            <w:tcW w:w="51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Investments used to hedge the supplemental savings plan</w:t>
            </w:r>
          </w:p>
        </w:tc>
        <w:tc>
          <w:tcPr>
            <w:tcW w:w="16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820.0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820.0</w:t>
            </w:r>
          </w:p>
        </w:tc>
        <w:tc>
          <w:tcPr>
            <w:tcW w:w="0" w:type="dxa"/>
            <w:vAlign w:val="bottom"/>
          </w:tcPr>
          <w:p>
            <w:pPr>
              <w:spacing w:after="0"/>
              <w:rPr>
                <w:sz w:val="1"/>
                <w:szCs w:val="1"/>
                <w:color w:val="auto"/>
              </w:rPr>
            </w:pPr>
          </w:p>
        </w:tc>
      </w:tr>
      <w:tr>
        <w:trPr>
          <w:trHeight w:val="243"/>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liability</w:t>
            </w:r>
          </w:p>
        </w:tc>
        <w:tc>
          <w:tcPr>
            <w:tcW w:w="16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5180" w:type="dxa"/>
            <w:vAlign w:val="bottom"/>
            <w:tcBorders>
              <w:top w:val="single" w:sz="8" w:color="CCEEFF"/>
            </w:tcBorders>
            <w:gridSpan w:val="2"/>
            <w:shd w:val="clear" w:color="auto" w:fill="CCEEFF"/>
          </w:tcPr>
          <w:p>
            <w:pPr>
              <w:ind w:left="20"/>
              <w:spacing w:after="0" w:line="156" w:lineRule="exact"/>
              <w:rPr>
                <w:sz w:val="20"/>
                <w:szCs w:val="20"/>
                <w:color w:val="auto"/>
              </w:rPr>
            </w:pPr>
            <w:r>
              <w:rPr>
                <w:rFonts w:ascii="Arial" w:cs="Arial" w:eastAsia="Arial" w:hAnsi="Arial"/>
                <w:sz w:val="18"/>
                <w:szCs w:val="18"/>
                <w:color w:val="auto"/>
              </w:rPr>
              <w:t>Total cash and investments in T. Rowe Price products</w:t>
            </w:r>
          </w:p>
        </w:tc>
        <w:tc>
          <w:tcPr>
            <w:tcW w:w="16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1,997.5</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1,680.8</w:t>
            </w: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811.9</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4,490.2</w:t>
            </w:r>
          </w:p>
        </w:tc>
        <w:tc>
          <w:tcPr>
            <w:tcW w:w="0" w:type="dxa"/>
            <w:vAlign w:val="bottom"/>
          </w:tcPr>
          <w:p>
            <w:pPr>
              <w:spacing w:after="0"/>
              <w:rPr>
                <w:sz w:val="1"/>
                <w:szCs w:val="1"/>
                <w:color w:val="auto"/>
              </w:rPr>
            </w:pPr>
          </w:p>
        </w:tc>
      </w:tr>
      <w:tr>
        <w:trPr>
          <w:trHeight w:val="243"/>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attributable to T. Rowe Price</w:t>
            </w:r>
          </w:p>
        </w:tc>
        <w:tc>
          <w:tcPr>
            <w:tcW w:w="16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Investments in affiliated private investment funds</w:t>
            </w:r>
            <w:r>
              <w:rPr>
                <w:rFonts w:ascii="Arial" w:cs="Arial" w:eastAsia="Arial" w:hAnsi="Arial"/>
                <w:sz w:val="23"/>
                <w:szCs w:val="23"/>
                <w:color w:val="auto"/>
                <w:vertAlign w:val="superscript"/>
              </w:rPr>
              <w:t>(2)</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795.2</w:t>
            </w:r>
          </w:p>
        </w:tc>
        <w:tc>
          <w:tcPr>
            <w:tcW w:w="0" w:type="dxa"/>
            <w:vAlign w:val="bottom"/>
          </w:tcPr>
          <w:p>
            <w:pPr>
              <w:spacing w:after="0"/>
              <w:rPr>
                <w:sz w:val="1"/>
                <w:szCs w:val="1"/>
                <w:color w:val="auto"/>
              </w:rPr>
            </w:pPr>
          </w:p>
        </w:tc>
      </w:tr>
      <w:tr>
        <w:trPr>
          <w:trHeight w:val="230"/>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Investments in CLOs</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29"/>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Investment in UTI and other investments</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278.8</w:t>
            </w:r>
          </w:p>
        </w:tc>
        <w:tc>
          <w:tcPr>
            <w:tcW w:w="0" w:type="dxa"/>
            <w:vAlign w:val="bottom"/>
          </w:tcPr>
          <w:p>
            <w:pPr>
              <w:spacing w:after="0"/>
              <w:rPr>
                <w:sz w:val="1"/>
                <w:szCs w:val="1"/>
                <w:color w:val="auto"/>
              </w:rPr>
            </w:pPr>
          </w:p>
        </w:tc>
      </w:tr>
      <w:tr>
        <w:trPr>
          <w:trHeight w:val="223"/>
        </w:trPr>
        <w:tc>
          <w:tcPr>
            <w:tcW w:w="51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cash and investments attributable to T. Rowe Price</w:t>
            </w: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5,688.7</w:t>
            </w:r>
          </w:p>
        </w:tc>
        <w:tc>
          <w:tcPr>
            <w:tcW w:w="0" w:type="dxa"/>
            <w:vAlign w:val="bottom"/>
          </w:tcPr>
          <w:p>
            <w:pPr>
              <w:spacing w:after="0"/>
              <w:rPr>
                <w:sz w:val="1"/>
                <w:szCs w:val="1"/>
                <w:color w:val="auto"/>
              </w:rPr>
            </w:pPr>
          </w:p>
        </w:tc>
      </w:tr>
      <w:tr>
        <w:trPr>
          <w:trHeight w:val="229"/>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Redeemable non-controlling interests</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790.4</w:t>
            </w:r>
          </w:p>
        </w:tc>
        <w:tc>
          <w:tcPr>
            <w:tcW w:w="0" w:type="dxa"/>
            <w:vAlign w:val="bottom"/>
          </w:tcPr>
          <w:p>
            <w:pPr>
              <w:spacing w:after="0"/>
              <w:rPr>
                <w:sz w:val="1"/>
                <w:szCs w:val="1"/>
                <w:color w:val="auto"/>
              </w:rPr>
            </w:pPr>
          </w:p>
        </w:tc>
      </w:tr>
      <w:tr>
        <w:trPr>
          <w:trHeight w:val="156"/>
        </w:trPr>
        <w:tc>
          <w:tcPr>
            <w:tcW w:w="5180" w:type="dxa"/>
            <w:vAlign w:val="bottom"/>
            <w:tcBorders>
              <w:top w:val="single" w:sz="8" w:color="CCEEFF"/>
            </w:tcBorders>
            <w:gridSpan w:val="2"/>
            <w:shd w:val="clear" w:color="auto" w:fill="CCEEFF"/>
          </w:tcPr>
          <w:p>
            <w:pPr>
              <w:ind w:left="20"/>
              <w:spacing w:after="0" w:line="156" w:lineRule="exact"/>
              <w:rPr>
                <w:sz w:val="20"/>
                <w:szCs w:val="20"/>
                <w:color w:val="auto"/>
              </w:rPr>
            </w:pPr>
            <w:r>
              <w:rPr>
                <w:rFonts w:ascii="Arial" w:cs="Arial" w:eastAsia="Arial" w:hAnsi="Arial"/>
                <w:sz w:val="18"/>
                <w:szCs w:val="18"/>
                <w:color w:val="auto"/>
              </w:rPr>
              <w:t>As reported on unaudited condensed consolidated balance</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1,997.5</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2,879.3</w:t>
            </w: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1,602.3</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6,479.1</w:t>
            </w:r>
          </w:p>
        </w:tc>
        <w:tc>
          <w:tcPr>
            <w:tcW w:w="0" w:type="dxa"/>
            <w:vAlign w:val="bottom"/>
          </w:tcPr>
          <w:p>
            <w:pPr>
              <w:spacing w:after="0"/>
              <w:rPr>
                <w:sz w:val="1"/>
                <w:szCs w:val="1"/>
                <w:color w:val="auto"/>
              </w:rPr>
            </w:pPr>
          </w:p>
        </w:tc>
      </w:tr>
      <w:tr>
        <w:trPr>
          <w:trHeight w:val="236"/>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sheet at March 31, 2022</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180" w:right="140" w:hanging="172"/>
        <w:spacing w:after="0" w:line="266" w:lineRule="auto"/>
        <w:tabs>
          <w:tab w:leader="none" w:pos="158" w:val="left"/>
        </w:tabs>
        <w:numPr>
          <w:ilvl w:val="0"/>
          <w:numId w:val="18"/>
        </w:numPr>
        <w:rPr>
          <w:rFonts w:ascii="Arial" w:cs="Arial" w:eastAsia="Arial" w:hAnsi="Arial"/>
          <w:sz w:val="9"/>
          <w:szCs w:val="9"/>
          <w:i w:val="1"/>
          <w:iCs w:val="1"/>
          <w:color w:val="auto"/>
        </w:rPr>
      </w:pPr>
      <w:r>
        <w:rPr>
          <w:rFonts w:ascii="Arial" w:cs="Arial" w:eastAsia="Arial" w:hAnsi="Arial"/>
          <w:sz w:val="14"/>
          <w:szCs w:val="14"/>
          <w:i w:val="1"/>
          <w:iCs w:val="1"/>
          <w:color w:val="auto"/>
        </w:rPr>
        <w:t>The consolidated T. Rowe Price investment products are generally those products we provided seed capital at the time of their formation and we have a controlling interest. These products generally represent U.S. mutual funds as well as those funds regulated outside the U.S. The $73.9 million and the $738.0 million represent the total value at March 31, 2022 of our interest in the consolidated T. Rowe Price investment products. The total net assets of the T. Rowe Price investment products at March 31, 2022 of $1,602.3 million includes assets of $1,658.2 million, less liabilities of $55.9 million as reflected in our unaudited condensed consolidated balance sheets.</w:t>
      </w:r>
    </w:p>
    <w:p>
      <w:pPr>
        <w:spacing w:after="0" w:line="6" w:lineRule="exact"/>
        <w:rPr>
          <w:rFonts w:ascii="Arial" w:cs="Arial" w:eastAsia="Arial" w:hAnsi="Arial"/>
          <w:sz w:val="9"/>
          <w:szCs w:val="9"/>
          <w:i w:val="1"/>
          <w:iCs w:val="1"/>
          <w:color w:val="auto"/>
        </w:rPr>
      </w:pPr>
    </w:p>
    <w:p>
      <w:pPr>
        <w:ind w:left="180" w:right="80" w:hanging="172"/>
        <w:spacing w:after="0" w:line="203" w:lineRule="auto"/>
        <w:tabs>
          <w:tab w:leader="none" w:pos="172" w:val="left"/>
        </w:tabs>
        <w:numPr>
          <w:ilvl w:val="0"/>
          <w:numId w:val="18"/>
        </w:numPr>
        <w:rPr>
          <w:rFonts w:ascii="Arial" w:cs="Arial" w:eastAsia="Arial" w:hAnsi="Arial"/>
          <w:sz w:val="19"/>
          <w:szCs w:val="19"/>
          <w:i w:val="1"/>
          <w:iCs w:val="1"/>
          <w:color w:val="auto"/>
          <w:vertAlign w:val="superscript"/>
        </w:rPr>
      </w:pPr>
      <w:r>
        <w:rPr>
          <w:rFonts w:ascii="Arial" w:cs="Arial" w:eastAsia="Arial" w:hAnsi="Arial"/>
          <w:sz w:val="13"/>
          <w:szCs w:val="13"/>
          <w:i w:val="1"/>
          <w:iCs w:val="1"/>
          <w:color w:val="auto"/>
        </w:rPr>
        <w:t>Includes $272.2 million of non-controlling interests in consolidated entities and represents the portion of these investments, held by third parties, that we cannot sell in order to obtain cash for general operations.</w:t>
      </w:r>
    </w:p>
    <w:p>
      <w:pPr>
        <w:spacing w:after="0" w:line="226" w:lineRule="exact"/>
        <w:rPr>
          <w:sz w:val="20"/>
          <w:szCs w:val="20"/>
          <w:color w:val="auto"/>
        </w:rPr>
      </w:pPr>
    </w:p>
    <w:p>
      <w:pPr>
        <w:jc w:val="both"/>
        <w:ind w:right="260"/>
        <w:spacing w:after="0" w:line="270" w:lineRule="auto"/>
        <w:rPr>
          <w:sz w:val="20"/>
          <w:szCs w:val="20"/>
          <w:color w:val="auto"/>
        </w:rPr>
      </w:pPr>
      <w:r>
        <w:rPr>
          <w:rFonts w:ascii="Arial" w:cs="Arial" w:eastAsia="Arial" w:hAnsi="Arial"/>
          <w:sz w:val="17"/>
          <w:szCs w:val="17"/>
          <w:color w:val="auto"/>
        </w:rPr>
        <w:t>Our unaudited condensed consolidated balance sheet reflects the cash and cash equivalents, investments, other assets and liabilities of those T. Rowe Price investment products we consolidate, as well as redeemable non-controlling interests for the portion of these T. Rowe Price investment products that are held by unrelated third-party investors. Although we can redeem our net interest in these T. Rowe Price investment products at any time, we cannot directly access or sell the assets held by the products to obtain cash for general operations.</w:t>
      </w:r>
    </w:p>
    <w:p>
      <w:pPr>
        <w:spacing w:after="0" w:line="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Additionally, the assets of these T. Rowe Price investment products are not available to our general creditors. Our interest in these T. Rowe Price investment products was used as initial seed capital and is recategorized as discretionary when it is determined by management that the seed capital is no longer needed. We assess the discretionary investment products and, when we decide to liquidate our interest, we seek to do so in a way as to not impact the product and, ultimately, the unrelated third-party investors.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Uses of Liquidity</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increased our quarterly recurring dividend per common share in February 2022 by 11.1% to $1.20 per common share from $1.08 per common share. Further, we expended $320.1 million in the first quarter of 2022 to repurchase 2.1 million shares, or .9% of our outstanding common stock, at an average price of $151.97 per share. These dividends and repurchases were expended using existing cash balances and cash generated from operations. While opportunistic in our approach to stock buybacks, we will generally repurchase our common stock over time to offset the dilution created by our equity-based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2" w:name="page33"/>
    <w:bookmarkEnd w:id="32"/>
    <w:p>
      <w:pPr>
        <w:ind w:right="260"/>
        <w:spacing w:after="0" w:line="287" w:lineRule="auto"/>
        <w:rPr>
          <w:sz w:val="20"/>
          <w:szCs w:val="20"/>
          <w:color w:val="auto"/>
        </w:rPr>
      </w:pPr>
      <w:r>
        <w:rPr>
          <w:rFonts w:ascii="Arial" w:cs="Arial" w:eastAsia="Arial" w:hAnsi="Arial"/>
          <w:sz w:val="18"/>
          <w:szCs w:val="18"/>
          <w:color w:val="auto"/>
        </w:rPr>
        <w:t>Since the end of 2019, we have returned $5.5 billion to stockholders through stock repurchases, regular quarterly dividends, and a special dividend, as follows: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540" w:type="dxa"/>
            <w:vAlign w:val="bottom"/>
            <w:gridSpan w:val="3"/>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Recurring dividend</w:t>
            </w:r>
          </w:p>
        </w:tc>
        <w:tc>
          <w:tcPr>
            <w:tcW w:w="1420" w:type="dxa"/>
            <w:vAlign w:val="bottom"/>
            <w:gridSpan w:val="3"/>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Special dividend</w:t>
            </w:r>
          </w:p>
        </w:tc>
        <w:tc>
          <w:tcPr>
            <w:tcW w:w="1560" w:type="dxa"/>
            <w:vAlign w:val="bottom"/>
            <w:gridSpan w:val="3"/>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Stock repurchases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Total cash returned</w:t>
            </w:r>
          </w:p>
        </w:tc>
        <w:tc>
          <w:tcPr>
            <w:tcW w:w="0" w:type="dxa"/>
            <w:vAlign w:val="bottom"/>
          </w:tcPr>
          <w:p>
            <w:pPr>
              <w:spacing w:after="0"/>
              <w:rPr>
                <w:sz w:val="1"/>
                <w:szCs w:val="1"/>
                <w:color w:val="auto"/>
              </w:rPr>
            </w:pPr>
          </w:p>
        </w:tc>
      </w:tr>
      <w:tr>
        <w:trPr>
          <w:trHeight w:val="189"/>
        </w:trPr>
        <w:tc>
          <w:tcPr>
            <w:tcW w:w="5280" w:type="dxa"/>
            <w:vAlign w:val="bottom"/>
            <w:vMerge w:val="continue"/>
            <w:shd w:val="clear" w:color="auto" w:fill="CCEEFF"/>
          </w:tcPr>
          <w:p>
            <w:pPr>
              <w:spacing w:after="0"/>
              <w:rPr>
                <w:sz w:val="16"/>
                <w:szCs w:val="16"/>
                <w:color w:val="auto"/>
              </w:rPr>
            </w:pPr>
          </w:p>
        </w:tc>
        <w:tc>
          <w:tcPr>
            <w:tcW w:w="1540" w:type="dxa"/>
            <w:vAlign w:val="bottom"/>
            <w:gridSpan w:val="3"/>
            <w:vMerge w:val="continue"/>
            <w:shd w:val="clear" w:color="auto" w:fill="CCEEFF"/>
          </w:tcPr>
          <w:p>
            <w:pPr>
              <w:spacing w:after="0"/>
              <w:rPr>
                <w:sz w:val="16"/>
                <w:szCs w:val="16"/>
                <w:color w:val="auto"/>
              </w:rPr>
            </w:pPr>
          </w:p>
        </w:tc>
        <w:tc>
          <w:tcPr>
            <w:tcW w:w="1420" w:type="dxa"/>
            <w:vAlign w:val="bottom"/>
            <w:gridSpan w:val="3"/>
            <w:vMerge w:val="continue"/>
            <w:shd w:val="clear" w:color="auto" w:fill="CCEEFF"/>
          </w:tcPr>
          <w:p>
            <w:pPr>
              <w:spacing w:after="0"/>
              <w:rPr>
                <w:sz w:val="16"/>
                <w:szCs w:val="16"/>
                <w:color w:val="auto"/>
              </w:rPr>
            </w:pPr>
          </w:p>
        </w:tc>
        <w:tc>
          <w:tcPr>
            <w:tcW w:w="1560" w:type="dxa"/>
            <w:vAlign w:val="bottom"/>
            <w:gridSpan w:val="3"/>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94"/>
              <w:spacing w:after="0"/>
              <w:rPr>
                <w:sz w:val="20"/>
                <w:szCs w:val="20"/>
                <w:color w:val="auto"/>
              </w:rPr>
            </w:pPr>
            <w:r>
              <w:rPr>
                <w:rFonts w:ascii="Arial" w:cs="Arial" w:eastAsia="Arial" w:hAnsi="Arial"/>
                <w:sz w:val="14"/>
                <w:szCs w:val="14"/>
                <w:b w:val="1"/>
                <w:bCs w:val="1"/>
                <w:color w:val="auto"/>
              </w:rPr>
              <w:t>to stockholders</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color w:val="auto"/>
              </w:rPr>
              <w:t>2020</w:t>
            </w:r>
          </w:p>
        </w:tc>
        <w:tc>
          <w:tcPr>
            <w:tcW w:w="420" w:type="dxa"/>
            <w:vAlign w:val="bottom"/>
            <w:tcBorders>
              <w:top w:val="single" w:sz="8" w:color="auto"/>
            </w:tcBorders>
          </w:tcPr>
          <w:p>
            <w:pPr>
              <w:jc w:val="right"/>
              <w:ind w:right="21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846.0</w:t>
            </w:r>
          </w:p>
        </w:tc>
        <w:tc>
          <w:tcPr>
            <w:tcW w:w="120" w:type="dxa"/>
            <w:vAlign w:val="bottom"/>
          </w:tcPr>
          <w:p>
            <w:pPr>
              <w:spacing w:after="0"/>
              <w:rPr>
                <w:sz w:val="19"/>
                <w:szCs w:val="19"/>
                <w:color w:val="auto"/>
              </w:rPr>
            </w:pPr>
          </w:p>
        </w:tc>
        <w:tc>
          <w:tcPr>
            <w:tcW w:w="440" w:type="dxa"/>
            <w:vAlign w:val="bottom"/>
            <w:tcBorders>
              <w:top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tcBorders>
              <w:top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1,192.2</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2,038.2</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2,839.5</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Three months ended 3/31/2022</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279.2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599.3</w:t>
            </w:r>
          </w:p>
        </w:tc>
        <w:tc>
          <w:tcPr>
            <w:tcW w:w="0" w:type="dxa"/>
            <w:vAlign w:val="bottom"/>
          </w:tcPr>
          <w:p>
            <w:pPr>
              <w:spacing w:after="0"/>
              <w:rPr>
                <w:sz w:val="1"/>
                <w:szCs w:val="1"/>
                <w:color w:val="auto"/>
              </w:rPr>
            </w:pPr>
          </w:p>
        </w:tc>
      </w:tr>
      <w:tr>
        <w:trPr>
          <w:trHeight w:val="248"/>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5,477.0</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anticipate property, equipment, software and other capital expenditures, including internal labor capitalization, for the full-year 2022 to be about $290 million, of which more than three-quarters is planned for technology initiatives. We expect to fund our anticipated capital expenditures with operating cash flows and other available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auto"/>
        </w:rPr>
        <w:t>Cash Flows</w:t>
      </w:r>
    </w:p>
    <w:p>
      <w:pPr>
        <w:spacing w:after="0" w:line="25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following table summarizes the cash flows for the three months ended March 31, 2022 and 2021, that are attributable to T. Rowe Price, our consolidated T. Rowe Price investment products, and the related eliminations required in preparing the statement.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gridSpan w:val="5"/>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8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3/31/2022</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3/31/2021</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180"/>
              <w:spacing w:after="0" w:line="147" w:lineRule="exact"/>
              <w:rPr>
                <w:sz w:val="20"/>
                <w:szCs w:val="20"/>
                <w:color w:val="auto"/>
              </w:rPr>
            </w:pPr>
            <w:r>
              <w:rPr>
                <w:rFonts w:ascii="Arial" w:cs="Arial" w:eastAsia="Arial" w:hAnsi="Arial"/>
                <w:sz w:val="14"/>
                <w:szCs w:val="14"/>
                <w:b w:val="1"/>
                <w:bCs w:val="1"/>
                <w:color w:val="auto"/>
              </w:rPr>
              <w:t>Cash flow</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220"/>
              <w:spacing w:after="0" w:line="147" w:lineRule="exact"/>
              <w:rPr>
                <w:sz w:val="20"/>
                <w:szCs w:val="20"/>
                <w:color w:val="auto"/>
              </w:rPr>
            </w:pPr>
            <w:r>
              <w:rPr>
                <w:rFonts w:ascii="Arial" w:cs="Arial" w:eastAsia="Arial" w:hAnsi="Arial"/>
                <w:sz w:val="14"/>
                <w:szCs w:val="14"/>
                <w:b w:val="1"/>
                <w:bCs w:val="1"/>
                <w:color w:val="auto"/>
              </w:rPr>
              <w:t>Cash flow</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shd w:val="clear" w:color="auto" w:fill="CCEEFF"/>
          </w:tcPr>
          <w:p>
            <w:pPr>
              <w:spacing w:after="0"/>
              <w:rPr>
                <w:sz w:val="12"/>
                <w:szCs w:val="12"/>
                <w:color w:val="auto"/>
              </w:rPr>
            </w:pPr>
          </w:p>
        </w:tc>
        <w:tc>
          <w:tcPr>
            <w:tcW w:w="980" w:type="dxa"/>
            <w:vAlign w:val="bottom"/>
            <w:gridSpan w:val="3"/>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Cash flow</w:t>
            </w:r>
          </w:p>
        </w:tc>
        <w:tc>
          <w:tcPr>
            <w:tcW w:w="110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b w:val="1"/>
                <w:bCs w:val="1"/>
                <w:color w:val="auto"/>
              </w:rPr>
              <w:t>attributable to</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3"/>
            <w:vMerge w:val="restart"/>
            <w:shd w:val="clear" w:color="auto" w:fill="CCEEFF"/>
          </w:tcPr>
          <w:p>
            <w:pPr>
              <w:jc w:val="center"/>
              <w:ind w:right="80"/>
              <w:spacing w:after="0"/>
              <w:rPr>
                <w:sz w:val="20"/>
                <w:szCs w:val="20"/>
                <w:color w:val="auto"/>
              </w:rPr>
            </w:pPr>
            <w:r>
              <w:rPr>
                <w:rFonts w:ascii="Arial" w:cs="Arial" w:eastAsia="Arial" w:hAnsi="Arial"/>
                <w:sz w:val="14"/>
                <w:szCs w:val="14"/>
                <w:b w:val="1"/>
                <w:bCs w:val="1"/>
                <w:color w:val="auto"/>
              </w:rPr>
              <w:t>Cash flow</w:t>
            </w:r>
          </w:p>
        </w:tc>
        <w:tc>
          <w:tcPr>
            <w:tcW w:w="112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b w:val="1"/>
                <w:bCs w:val="1"/>
                <w:color w:val="auto"/>
              </w:rPr>
              <w:t>attributable to</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20" w:type="dxa"/>
            <w:vAlign w:val="bottom"/>
            <w:shd w:val="clear" w:color="auto" w:fill="CCEEFF"/>
          </w:tcPr>
          <w:p>
            <w:pPr>
              <w:spacing w:after="0"/>
              <w:rPr>
                <w:sz w:val="12"/>
                <w:szCs w:val="12"/>
                <w:color w:val="auto"/>
              </w:rPr>
            </w:pPr>
          </w:p>
        </w:tc>
        <w:tc>
          <w:tcPr>
            <w:tcW w:w="980" w:type="dxa"/>
            <w:vAlign w:val="bottom"/>
            <w:gridSpan w:val="3"/>
            <w:vMerge w:val="continue"/>
            <w:shd w:val="clear" w:color="auto" w:fill="CCEEFF"/>
          </w:tcPr>
          <w:p>
            <w:pPr>
              <w:spacing w:after="0"/>
              <w:rPr>
                <w:sz w:val="12"/>
                <w:szCs w:val="12"/>
                <w:color w:val="auto"/>
              </w:rPr>
            </w:pPr>
          </w:p>
        </w:tc>
        <w:tc>
          <w:tcPr>
            <w:tcW w:w="1100" w:type="dxa"/>
            <w:vAlign w:val="bottom"/>
            <w:gridSpan w:val="3"/>
            <w:shd w:val="clear" w:color="auto" w:fill="CCEEFF"/>
          </w:tcPr>
          <w:p>
            <w:pPr>
              <w:jc w:val="center"/>
              <w:ind w:right="80"/>
              <w:spacing w:after="0" w:line="145" w:lineRule="exact"/>
              <w:rPr>
                <w:sz w:val="20"/>
                <w:szCs w:val="20"/>
                <w:color w:val="auto"/>
              </w:rPr>
            </w:pPr>
            <w:r>
              <w:rPr>
                <w:rFonts w:ascii="Arial" w:cs="Arial" w:eastAsia="Arial" w:hAnsi="Arial"/>
                <w:sz w:val="14"/>
                <w:szCs w:val="14"/>
                <w:b w:val="1"/>
                <w:bCs w:val="1"/>
                <w:color w:val="auto"/>
              </w:rPr>
              <w:t>consolidated</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3"/>
            <w:vMerge w:val="continue"/>
            <w:shd w:val="clear" w:color="auto" w:fill="CCEEFF"/>
          </w:tcPr>
          <w:p>
            <w:pPr>
              <w:spacing w:after="0"/>
              <w:rPr>
                <w:sz w:val="12"/>
                <w:szCs w:val="12"/>
                <w:color w:val="auto"/>
              </w:rPr>
            </w:pPr>
          </w:p>
        </w:tc>
        <w:tc>
          <w:tcPr>
            <w:tcW w:w="1120" w:type="dxa"/>
            <w:vAlign w:val="bottom"/>
            <w:gridSpan w:val="3"/>
            <w:shd w:val="clear" w:color="auto" w:fill="CCEEFF"/>
          </w:tcPr>
          <w:p>
            <w:pPr>
              <w:jc w:val="center"/>
              <w:ind w:right="80"/>
              <w:spacing w:after="0" w:line="145" w:lineRule="exact"/>
              <w:rPr>
                <w:sz w:val="20"/>
                <w:szCs w:val="20"/>
                <w:color w:val="auto"/>
              </w:rPr>
            </w:pPr>
            <w:r>
              <w:rPr>
                <w:rFonts w:ascii="Arial" w:cs="Arial" w:eastAsia="Arial" w:hAnsi="Arial"/>
                <w:sz w:val="14"/>
                <w:szCs w:val="14"/>
                <w:b w:val="1"/>
                <w:bCs w:val="1"/>
                <w:color w:val="auto"/>
              </w:rPr>
              <w:t>consolidated</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8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right="80"/>
              <w:spacing w:after="0" w:line="139" w:lineRule="exact"/>
              <w:rPr>
                <w:sz w:val="20"/>
                <w:szCs w:val="20"/>
                <w:color w:val="auto"/>
              </w:rPr>
            </w:pPr>
            <w:r>
              <w:rPr>
                <w:rFonts w:ascii="Arial" w:cs="Arial" w:eastAsia="Arial" w:hAnsi="Arial"/>
                <w:sz w:val="14"/>
                <w:szCs w:val="14"/>
                <w:b w:val="1"/>
                <w:bCs w:val="1"/>
                <w:color w:val="auto"/>
              </w:rPr>
              <w:t>attributable</w:t>
            </w:r>
          </w:p>
        </w:tc>
        <w:tc>
          <w:tcPr>
            <w:tcW w:w="1100" w:type="dxa"/>
            <w:vAlign w:val="bottom"/>
            <w:gridSpan w:val="3"/>
            <w:shd w:val="clear" w:color="auto" w:fill="CCEEFF"/>
          </w:tcPr>
          <w:p>
            <w:pPr>
              <w:jc w:val="center"/>
              <w:ind w:right="80"/>
              <w:spacing w:after="0" w:line="139" w:lineRule="exact"/>
              <w:rPr>
                <w:sz w:val="20"/>
                <w:szCs w:val="20"/>
                <w:color w:val="auto"/>
              </w:rPr>
            </w:pPr>
            <w:r>
              <w:rPr>
                <w:rFonts w:ascii="Arial" w:cs="Arial" w:eastAsia="Arial" w:hAnsi="Arial"/>
                <w:sz w:val="14"/>
                <w:szCs w:val="14"/>
                <w:b w:val="1"/>
                <w:bCs w:val="1"/>
                <w:color w:val="auto"/>
              </w:rPr>
              <w:t>T. Rowe Price</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As</w:t>
            </w:r>
          </w:p>
        </w:tc>
        <w:tc>
          <w:tcPr>
            <w:tcW w:w="960" w:type="dxa"/>
            <w:vAlign w:val="bottom"/>
            <w:gridSpan w:val="3"/>
            <w:shd w:val="clear" w:color="auto" w:fill="CCEEFF"/>
          </w:tcPr>
          <w:p>
            <w:pPr>
              <w:jc w:val="center"/>
              <w:ind w:right="80"/>
              <w:spacing w:after="0" w:line="139" w:lineRule="exact"/>
              <w:rPr>
                <w:sz w:val="20"/>
                <w:szCs w:val="20"/>
                <w:color w:val="auto"/>
              </w:rPr>
            </w:pPr>
            <w:r>
              <w:rPr>
                <w:rFonts w:ascii="Arial" w:cs="Arial" w:eastAsia="Arial" w:hAnsi="Arial"/>
                <w:sz w:val="14"/>
                <w:szCs w:val="14"/>
                <w:b w:val="1"/>
                <w:bCs w:val="1"/>
                <w:color w:val="auto"/>
              </w:rPr>
              <w:t>attributable</w:t>
            </w:r>
          </w:p>
        </w:tc>
        <w:tc>
          <w:tcPr>
            <w:tcW w:w="1120" w:type="dxa"/>
            <w:vAlign w:val="bottom"/>
            <w:gridSpan w:val="3"/>
            <w:shd w:val="clear" w:color="auto" w:fill="CCEEFF"/>
          </w:tcPr>
          <w:p>
            <w:pPr>
              <w:jc w:val="center"/>
              <w:ind w:right="80"/>
              <w:spacing w:after="0" w:line="139" w:lineRule="exact"/>
              <w:rPr>
                <w:sz w:val="20"/>
                <w:szCs w:val="20"/>
                <w:color w:val="auto"/>
              </w:rPr>
            </w:pPr>
            <w:r>
              <w:rPr>
                <w:rFonts w:ascii="Arial" w:cs="Arial" w:eastAsia="Arial" w:hAnsi="Arial"/>
                <w:sz w:val="14"/>
                <w:szCs w:val="14"/>
                <w:b w:val="1"/>
                <w:bCs w:val="1"/>
                <w:color w:val="auto"/>
              </w:rPr>
              <w:t>T. Rowe Price</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231"/>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44"/>
        </w:trPr>
        <w:tc>
          <w:tcPr>
            <w:tcW w:w="38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980" w:type="dxa"/>
            <w:vAlign w:val="bottom"/>
            <w:gridSpan w:val="3"/>
            <w:shd w:val="clear" w:color="auto" w:fill="CCEEFF"/>
          </w:tcPr>
          <w:p>
            <w:pPr>
              <w:jc w:val="center"/>
              <w:ind w:right="80"/>
              <w:spacing w:after="0" w:line="145" w:lineRule="exact"/>
              <w:rPr>
                <w:sz w:val="20"/>
                <w:szCs w:val="20"/>
                <w:color w:val="auto"/>
              </w:rPr>
            </w:pPr>
            <w:r>
              <w:rPr>
                <w:rFonts w:ascii="Arial" w:cs="Arial" w:eastAsia="Arial" w:hAnsi="Arial"/>
                <w:sz w:val="14"/>
                <w:szCs w:val="14"/>
                <w:b w:val="1"/>
                <w:bCs w:val="1"/>
                <w:color w:val="auto"/>
                <w:w w:val="98"/>
              </w:rPr>
              <w:t>to T. Rowe</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180"/>
              <w:spacing w:after="0" w:line="145" w:lineRule="exact"/>
              <w:rPr>
                <w:sz w:val="20"/>
                <w:szCs w:val="20"/>
                <w:color w:val="auto"/>
              </w:rPr>
            </w:pPr>
            <w:r>
              <w:rPr>
                <w:rFonts w:ascii="Arial" w:cs="Arial" w:eastAsia="Arial" w:hAnsi="Arial"/>
                <w:sz w:val="14"/>
                <w:szCs w:val="14"/>
                <w:b w:val="1"/>
                <w:bCs w:val="1"/>
                <w:color w:val="auto"/>
              </w:rPr>
              <w:t>investment</w:t>
            </w:r>
          </w:p>
        </w:tc>
        <w:tc>
          <w:tcPr>
            <w:tcW w:w="14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Elims</w:t>
            </w:r>
          </w:p>
        </w:tc>
        <w:tc>
          <w:tcPr>
            <w:tcW w:w="140" w:type="dxa"/>
            <w:vAlign w:val="bottom"/>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960" w:type="dxa"/>
            <w:vAlign w:val="bottom"/>
            <w:gridSpan w:val="3"/>
            <w:shd w:val="clear" w:color="auto" w:fill="CCEEFF"/>
          </w:tcPr>
          <w:p>
            <w:pPr>
              <w:jc w:val="center"/>
              <w:ind w:right="80"/>
              <w:spacing w:after="0" w:line="145" w:lineRule="exact"/>
              <w:rPr>
                <w:sz w:val="20"/>
                <w:szCs w:val="20"/>
                <w:color w:val="auto"/>
              </w:rPr>
            </w:pPr>
            <w:r>
              <w:rPr>
                <w:rFonts w:ascii="Arial" w:cs="Arial" w:eastAsia="Arial" w:hAnsi="Arial"/>
                <w:sz w:val="14"/>
                <w:szCs w:val="14"/>
                <w:b w:val="1"/>
                <w:bCs w:val="1"/>
                <w:color w:val="auto"/>
              </w:rPr>
              <w:t>to T. Rowe</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220"/>
              <w:spacing w:after="0" w:line="145" w:lineRule="exact"/>
              <w:rPr>
                <w:sz w:val="20"/>
                <w:szCs w:val="20"/>
                <w:color w:val="auto"/>
              </w:rPr>
            </w:pPr>
            <w:r>
              <w:rPr>
                <w:rFonts w:ascii="Arial" w:cs="Arial" w:eastAsia="Arial" w:hAnsi="Arial"/>
                <w:sz w:val="14"/>
                <w:szCs w:val="14"/>
                <w:b w:val="1"/>
                <w:bCs w:val="1"/>
                <w:color w:val="auto"/>
              </w:rPr>
              <w:t>investment</w:t>
            </w:r>
          </w:p>
        </w:tc>
        <w:tc>
          <w:tcPr>
            <w:tcW w:w="12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Elims</w:t>
            </w:r>
          </w:p>
        </w:tc>
        <w:tc>
          <w:tcPr>
            <w:tcW w:w="14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82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99"/>
              </w:rPr>
              <w:t>Price</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rPr>
              <w:t>products</w:t>
            </w:r>
          </w:p>
        </w:tc>
        <w:tc>
          <w:tcPr>
            <w:tcW w:w="14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000" w:type="dxa"/>
            <w:vAlign w:val="bottom"/>
            <w:gridSpan w:val="3"/>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rPr>
              <w:t>reported</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Price</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products</w:t>
            </w:r>
          </w:p>
        </w:tc>
        <w:tc>
          <w:tcPr>
            <w:tcW w:w="12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820" w:type="dxa"/>
            <w:vAlign w:val="bottom"/>
            <w:gridSpan w:val="2"/>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reported</w:t>
            </w:r>
          </w:p>
        </w:tc>
        <w:tc>
          <w:tcPr>
            <w:tcW w:w="0" w:type="dxa"/>
            <w:vAlign w:val="bottom"/>
          </w:tcPr>
          <w:p>
            <w:pPr>
              <w:spacing w:after="0"/>
              <w:rPr>
                <w:sz w:val="1"/>
                <w:szCs w:val="1"/>
                <w:color w:val="auto"/>
              </w:rPr>
            </w:pPr>
          </w:p>
        </w:tc>
      </w:tr>
      <w:tr>
        <w:trPr>
          <w:trHeight w:val="210"/>
        </w:trPr>
        <w:tc>
          <w:tcPr>
            <w:tcW w:w="382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514.4</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764.8</w:t>
            </w:r>
          </w:p>
        </w:tc>
        <w:tc>
          <w:tcPr>
            <w:tcW w:w="0" w:type="dxa"/>
            <w:vAlign w:val="bottom"/>
          </w:tcPr>
          <w:p>
            <w:pPr>
              <w:spacing w:after="0"/>
              <w:rPr>
                <w:sz w:val="1"/>
                <w:szCs w:val="1"/>
                <w:color w:val="auto"/>
              </w:rPr>
            </w:pPr>
          </w:p>
        </w:tc>
      </w:tr>
      <w:tr>
        <w:trPr>
          <w:trHeight w:val="184"/>
        </w:trPr>
        <w:tc>
          <w:tcPr>
            <w:tcW w:w="3820" w:type="dxa"/>
            <w:vAlign w:val="bottom"/>
          </w:tcPr>
          <w:p>
            <w:pPr>
              <w:ind w:left="140"/>
              <w:spacing w:after="0" w:line="183" w:lineRule="exact"/>
              <w:rPr>
                <w:sz w:val="20"/>
                <w:szCs w:val="20"/>
                <w:color w:val="auto"/>
              </w:rPr>
            </w:pPr>
            <w:r>
              <w:rPr>
                <w:rFonts w:ascii="Arial" w:cs="Arial" w:eastAsia="Arial" w:hAnsi="Arial"/>
                <w:sz w:val="18"/>
                <w:szCs w:val="18"/>
                <w:color w:val="auto"/>
              </w:rPr>
              <w:t>Adjustments to reconcile net income (loss) to</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3820" w:type="dxa"/>
            <w:vAlign w:val="bottom"/>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Depreciation and amortization of property,</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35"/>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equipment and software</w:t>
            </w:r>
          </w:p>
        </w:tc>
        <w:tc>
          <w:tcPr>
            <w:tcW w:w="16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820" w:type="dxa"/>
            <w:vAlign w:val="bottom"/>
          </w:tcPr>
          <w:p>
            <w:pPr>
              <w:ind w:left="220"/>
              <w:spacing w:after="0" w:line="183" w:lineRule="exact"/>
              <w:rPr>
                <w:sz w:val="20"/>
                <w:szCs w:val="20"/>
                <w:color w:val="auto"/>
              </w:rPr>
            </w:pPr>
            <w:r>
              <w:rPr>
                <w:rFonts w:ascii="Arial" w:cs="Arial" w:eastAsia="Arial" w:hAnsi="Arial"/>
                <w:sz w:val="18"/>
                <w:szCs w:val="18"/>
                <w:color w:val="auto"/>
              </w:rPr>
              <w:t>Amortization of acquired assets and</w:t>
            </w: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53.9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53.9</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3820" w:type="dxa"/>
            <w:vAlign w:val="bottom"/>
          </w:tcPr>
          <w:p>
            <w:pPr>
              <w:ind w:left="22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Fair value remeasurement of contingent</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liability</w:t>
            </w:r>
          </w:p>
        </w:tc>
        <w:tc>
          <w:tcPr>
            <w:tcW w:w="16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Net (gains) losses recognized on</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35"/>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w:t>
            </w:r>
          </w:p>
        </w:tc>
        <w:tc>
          <w:tcPr>
            <w:tcW w:w="16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820" w:type="dxa"/>
            <w:vAlign w:val="bottom"/>
          </w:tcPr>
          <w:p>
            <w:pPr>
              <w:ind w:left="220"/>
              <w:spacing w:after="0" w:line="183" w:lineRule="exact"/>
              <w:rPr>
                <w:sz w:val="20"/>
                <w:szCs w:val="20"/>
                <w:color w:val="auto"/>
              </w:rPr>
            </w:pPr>
            <w:r>
              <w:rPr>
                <w:rFonts w:ascii="Arial" w:cs="Arial" w:eastAsia="Arial" w:hAnsi="Arial"/>
                <w:sz w:val="18"/>
                <w:szCs w:val="18"/>
                <w:color w:val="auto"/>
              </w:rPr>
              <w:t>Net redemptions in T. Rowe Price</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20" w:type="dxa"/>
            <w:vAlign w:val="bottom"/>
          </w:tcPr>
          <w:p>
            <w:pPr>
              <w:ind w:left="220"/>
              <w:spacing w:after="0" w:line="181" w:lineRule="exact"/>
              <w:rPr>
                <w:sz w:val="20"/>
                <w:szCs w:val="20"/>
                <w:color w:val="auto"/>
              </w:rPr>
            </w:pPr>
            <w:r>
              <w:rPr>
                <w:rFonts w:ascii="Arial" w:cs="Arial" w:eastAsia="Arial" w:hAnsi="Arial"/>
                <w:sz w:val="18"/>
                <w:szCs w:val="18"/>
                <w:color w:val="auto"/>
              </w:rPr>
              <w:t>investment products used to economically</w:t>
            </w: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29"/>
        </w:trPr>
        <w:tc>
          <w:tcPr>
            <w:tcW w:w="3820" w:type="dxa"/>
            <w:vAlign w:val="bottom"/>
          </w:tcPr>
          <w:p>
            <w:pPr>
              <w:ind w:left="220"/>
              <w:spacing w:after="0"/>
              <w:rPr>
                <w:sz w:val="20"/>
                <w:szCs w:val="20"/>
                <w:color w:val="auto"/>
              </w:rPr>
            </w:pPr>
            <w:r>
              <w:rPr>
                <w:rFonts w:ascii="Arial" w:cs="Arial" w:eastAsia="Arial" w:hAnsi="Arial"/>
                <w:sz w:val="18"/>
                <w:szCs w:val="18"/>
                <w:color w:val="auto"/>
              </w:rPr>
              <w:t>hedge supplemental savings plan liability</w:t>
            </w:r>
          </w:p>
        </w:tc>
        <w:tc>
          <w:tcPr>
            <w:tcW w:w="1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Net change in trading securities held by</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20" w:type="dxa"/>
            <w:vAlign w:val="bottom"/>
            <w:shd w:val="clear" w:color="auto" w:fill="CCEEFF"/>
          </w:tcPr>
          <w:p>
            <w:pPr>
              <w:ind w:left="220"/>
              <w:spacing w:after="0" w:line="181" w:lineRule="exact"/>
              <w:rPr>
                <w:sz w:val="20"/>
                <w:szCs w:val="20"/>
                <w:color w:val="auto"/>
              </w:rPr>
            </w:pPr>
            <w:r>
              <w:rPr>
                <w:rFonts w:ascii="Arial" w:cs="Arial" w:eastAsia="Arial" w:hAnsi="Arial"/>
                <w:sz w:val="18"/>
                <w:szCs w:val="18"/>
                <w:color w:val="auto"/>
              </w:rPr>
              <w:t>consolidated T. Rowe Price investment</w:t>
            </w:r>
          </w:p>
        </w:tc>
        <w:tc>
          <w:tcPr>
            <w:tcW w:w="16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products</w:t>
            </w:r>
          </w:p>
        </w:tc>
        <w:tc>
          <w:tcPr>
            <w:tcW w:w="16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changes</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238.0</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164"/>
        </w:trPr>
        <w:tc>
          <w:tcPr>
            <w:tcW w:w="3820" w:type="dxa"/>
            <w:vAlign w:val="bottom"/>
            <w:shd w:val="clear" w:color="auto" w:fill="CCEEFF"/>
          </w:tcPr>
          <w:p>
            <w:pPr>
              <w:ind w:left="20"/>
              <w:spacing w:after="0" w:line="163" w:lineRule="exact"/>
              <w:rPr>
                <w:sz w:val="20"/>
                <w:szCs w:val="20"/>
                <w:color w:val="auto"/>
              </w:rPr>
            </w:pPr>
            <w:r>
              <w:rPr>
                <w:rFonts w:ascii="Arial" w:cs="Arial" w:eastAsia="Arial" w:hAnsi="Arial"/>
                <w:sz w:val="18"/>
                <w:szCs w:val="18"/>
                <w:color w:val="auto"/>
              </w:rPr>
              <w:t>Net cash provided by (used in) operating</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1,018.2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6"/>
              </w:rPr>
              <w:t>1,103.4</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1,138.6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994.7</w:t>
            </w:r>
          </w:p>
        </w:tc>
        <w:tc>
          <w:tcPr>
            <w:tcW w:w="0" w:type="dxa"/>
            <w:vAlign w:val="bottom"/>
          </w:tcPr>
          <w:p>
            <w:pPr>
              <w:spacing w:after="0"/>
              <w:rPr>
                <w:sz w:val="1"/>
                <w:szCs w:val="1"/>
                <w:color w:val="auto"/>
              </w:rPr>
            </w:pPr>
          </w:p>
        </w:tc>
      </w:tr>
      <w:tr>
        <w:trPr>
          <w:trHeight w:val="235"/>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activities</w:t>
            </w:r>
          </w:p>
        </w:tc>
        <w:tc>
          <w:tcPr>
            <w:tcW w:w="16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820" w:type="dxa"/>
            <w:vAlign w:val="bottom"/>
          </w:tcPr>
          <w:p>
            <w:pPr>
              <w:ind w:left="20"/>
              <w:spacing w:after="0" w:line="183" w:lineRule="exact"/>
              <w:rPr>
                <w:sz w:val="20"/>
                <w:szCs w:val="20"/>
                <w:color w:val="auto"/>
              </w:rPr>
            </w:pPr>
            <w:r>
              <w:rPr>
                <w:rFonts w:ascii="Arial" w:cs="Arial" w:eastAsia="Arial" w:hAnsi="Arial"/>
                <w:sz w:val="18"/>
                <w:szCs w:val="18"/>
                <w:color w:val="auto"/>
              </w:rPr>
              <w:t>Net cash provided by (used in) investing</w:t>
            </w: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(34.7)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30.4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97"/>
              </w:rPr>
              <w:t>(33.9)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35"/>
        </w:trPr>
        <w:tc>
          <w:tcPr>
            <w:tcW w:w="3820" w:type="dxa"/>
            <w:vAlign w:val="bottom"/>
          </w:tcPr>
          <w:p>
            <w:pPr>
              <w:ind w:left="20"/>
              <w:spacing w:after="0"/>
              <w:rPr>
                <w:sz w:val="20"/>
                <w:szCs w:val="20"/>
                <w:color w:val="auto"/>
              </w:rPr>
            </w:pPr>
            <w:r>
              <w:rPr>
                <w:rFonts w:ascii="Arial" w:cs="Arial" w:eastAsia="Arial" w:hAnsi="Arial"/>
                <w:sz w:val="18"/>
                <w:szCs w:val="18"/>
                <w:color w:val="auto"/>
              </w:rPr>
              <w:t>activities</w:t>
            </w:r>
          </w:p>
        </w:tc>
        <w:tc>
          <w:tcPr>
            <w:tcW w:w="1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Net cash provided by (used in) financing</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(588.2)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(644.1)</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(490.6)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(307.5)</w:t>
            </w:r>
          </w:p>
        </w:tc>
        <w:tc>
          <w:tcPr>
            <w:tcW w:w="0" w:type="dxa"/>
            <w:vAlign w:val="bottom"/>
          </w:tcPr>
          <w:p>
            <w:pPr>
              <w:spacing w:after="0"/>
              <w:rPr>
                <w:sz w:val="1"/>
                <w:szCs w:val="1"/>
                <w:color w:val="auto"/>
              </w:rPr>
            </w:pPr>
          </w:p>
        </w:tc>
      </w:tr>
      <w:tr>
        <w:trPr>
          <w:trHeight w:val="235"/>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activities</w:t>
            </w:r>
          </w:p>
        </w:tc>
        <w:tc>
          <w:tcPr>
            <w:tcW w:w="16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820" w:type="dxa"/>
            <w:vAlign w:val="bottom"/>
          </w:tcPr>
          <w:p>
            <w:pPr>
              <w:ind w:left="20"/>
              <w:spacing w:after="0" w:line="183" w:lineRule="exact"/>
              <w:rPr>
                <w:sz w:val="20"/>
                <w:szCs w:val="20"/>
                <w:color w:val="auto"/>
              </w:rPr>
            </w:pPr>
            <w:r>
              <w:rPr>
                <w:rFonts w:ascii="Arial" w:cs="Arial" w:eastAsia="Arial" w:hAnsi="Arial"/>
                <w:sz w:val="18"/>
                <w:szCs w:val="18"/>
                <w:color w:val="auto"/>
              </w:rPr>
              <w:t>Effect of exchange rate changes on cash and</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20" w:type="dxa"/>
            <w:vAlign w:val="bottom"/>
          </w:tcPr>
          <w:p>
            <w:pPr>
              <w:ind w:left="20"/>
              <w:spacing w:after="0" w:line="181" w:lineRule="exact"/>
              <w:rPr>
                <w:sz w:val="20"/>
                <w:szCs w:val="20"/>
                <w:color w:val="auto"/>
              </w:rPr>
            </w:pPr>
            <w:r>
              <w:rPr>
                <w:rFonts w:ascii="Arial" w:cs="Arial" w:eastAsia="Arial" w:hAnsi="Arial"/>
                <w:sz w:val="18"/>
                <w:szCs w:val="18"/>
                <w:color w:val="auto"/>
                <w:w w:val="99"/>
              </w:rPr>
              <w:t>cash equivalents of consolidated T. Rowe Price</w:t>
            </w: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 products</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3820" w:type="dxa"/>
            <w:vAlign w:val="bottom"/>
            <w:shd w:val="clear" w:color="auto" w:fill="CCEEFF"/>
          </w:tcPr>
          <w:p>
            <w:pPr>
              <w:ind w:left="20"/>
              <w:spacing w:after="0" w:line="163" w:lineRule="exact"/>
              <w:rPr>
                <w:sz w:val="20"/>
                <w:szCs w:val="20"/>
                <w:color w:val="auto"/>
              </w:rPr>
            </w:pPr>
            <w:r>
              <w:rPr>
                <w:rFonts w:ascii="Arial" w:cs="Arial" w:eastAsia="Arial" w:hAnsi="Arial"/>
                <w:sz w:val="18"/>
                <w:szCs w:val="18"/>
                <w:color w:val="auto"/>
              </w:rPr>
              <w:t>Net change in cash and cash equivalents</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474.4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460.4</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678.4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657.3</w:t>
            </w:r>
          </w:p>
        </w:tc>
        <w:tc>
          <w:tcPr>
            <w:tcW w:w="0" w:type="dxa"/>
            <w:vAlign w:val="bottom"/>
          </w:tcPr>
          <w:p>
            <w:pPr>
              <w:spacing w:after="0"/>
              <w:rPr>
                <w:sz w:val="1"/>
                <w:szCs w:val="1"/>
                <w:color w:val="auto"/>
              </w:rPr>
            </w:pPr>
          </w:p>
        </w:tc>
      </w:tr>
      <w:tr>
        <w:trPr>
          <w:trHeight w:val="235"/>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during period</w:t>
            </w:r>
          </w:p>
        </w:tc>
        <w:tc>
          <w:tcPr>
            <w:tcW w:w="16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820" w:type="dxa"/>
            <w:vAlign w:val="bottom"/>
          </w:tcPr>
          <w:p>
            <w:pPr>
              <w:ind w:left="20"/>
              <w:spacing w:after="0" w:line="183" w:lineRule="exact"/>
              <w:rPr>
                <w:sz w:val="20"/>
                <w:szCs w:val="20"/>
                <w:color w:val="auto"/>
              </w:rPr>
            </w:pPr>
            <w:r>
              <w:rPr>
                <w:rFonts w:ascii="Arial" w:cs="Arial" w:eastAsia="Arial" w:hAnsi="Arial"/>
                <w:sz w:val="18"/>
                <w:szCs w:val="18"/>
                <w:color w:val="auto"/>
              </w:rPr>
              <w:t>Cash and cash equivalents at beginning of</w:t>
            </w: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1,523.1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101.1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w w:val="96"/>
              </w:rPr>
              <w:t>1,624.2</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2,151.7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104.8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w w:val="96"/>
              </w:rPr>
              <w:t>2,256.5</w:t>
            </w:r>
          </w:p>
        </w:tc>
        <w:tc>
          <w:tcPr>
            <w:tcW w:w="0" w:type="dxa"/>
            <w:vAlign w:val="bottom"/>
          </w:tcPr>
          <w:p>
            <w:pPr>
              <w:spacing w:after="0"/>
              <w:rPr>
                <w:sz w:val="1"/>
                <w:szCs w:val="1"/>
                <w:color w:val="auto"/>
              </w:rPr>
            </w:pPr>
          </w:p>
        </w:tc>
      </w:tr>
      <w:tr>
        <w:trPr>
          <w:trHeight w:val="235"/>
        </w:trPr>
        <w:tc>
          <w:tcPr>
            <w:tcW w:w="3820" w:type="dxa"/>
            <w:vAlign w:val="bottom"/>
          </w:tcPr>
          <w:p>
            <w:pPr>
              <w:ind w:left="20"/>
              <w:spacing w:after="0"/>
              <w:rPr>
                <w:sz w:val="20"/>
                <w:szCs w:val="20"/>
                <w:color w:val="auto"/>
              </w:rPr>
            </w:pPr>
            <w:r>
              <w:rPr>
                <w:rFonts w:ascii="Arial" w:cs="Arial" w:eastAsia="Arial" w:hAnsi="Arial"/>
                <w:sz w:val="18"/>
                <w:szCs w:val="18"/>
                <w:color w:val="auto"/>
              </w:rPr>
              <w:t>year</w:t>
            </w:r>
          </w:p>
        </w:tc>
        <w:tc>
          <w:tcPr>
            <w:tcW w:w="1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2,084.6</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2,913.8</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Operating activities attributable to T. Rowe Price during the first quarter of 2022 provided cash flows of $1,018.2 million as compared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$1,138.6 million during the first quarter of 2021. Operating cash flows attributable to T. Rowe Price decreased $120.4 million, including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$181.5 million decrease in net income from the first quarter of 2021 and timing differences primarily on the cash settlement of our assets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liabilities of $109.5 million. These decreases were partially offset by $186.5 million in lower non-cash adjustments, including unrealized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investment gains/losses, depreciation, amortization of acquisition-related assets and retention arrangements, the fair value remeasurement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the contingent consideration liability, stock-based compensation expense, and other noncash items. The non-cash adjustments were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primarily driven by $88.7 million in net investment losses in the first quarter of 2022 compared with $77.8 million in net investment gains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first quarter of 2021. Additionally, in 2022, we had net proceeds of $6.1 million from certain investment products that economically hedge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supplemental savings plan liability compared to net proceeds of $22.0 million in the same period of 2021. Our interim operating cash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flows do not include the cash impact of variable compensation that is accrued throughout the year before being substantially paid out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The remaining change in reported cash flows from operating activities was attributable to the net change in trading securities held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our consolidated investment products’ underlying portfolios.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5"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Net cash provided by investing activities that are attributable to T. Rowe Price totaled $44.4 million in the first quarter of 2022 compared with $30.4 million of cash provided by investing activities in the 2021 period. During 2022,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we increased the cash provided by investing activities with higher net proceeds from the sale of certain of our discretionary investments of</w:t>
      </w:r>
    </w:p>
    <w:p>
      <w:pPr>
        <w:spacing w:after="0" w:line="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$58.9 million compared to net proceeds of $47.8 million during 2021. Partially offsetting these increases were decreased property, equipment and software expenditures of $3.9 million. We also decreased the level of seed capital provided by $.8 million. We eliminate our seed capital in those T. Rowe Price investment products we consolidate in preparing our unaudited condensed consolidated statement of cash flows. The remaining $21.4 million change in reported cash flows from investing activities is related to the net cash removed from our balance sheet from consolidating and deconsolidating investment products.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Net cash used in financing activities attributable to T. Rowe Price were $588.2 million in the first quarter of 2022 compared with $490.6 million in the 2021 period. During the first quarter of 2022, we used $320.1 million to repurchase 2.1 million shares compared to $259.2 million to repurchase 1.6 million shares in the first quarter of 2021. During the first quarter of 2022, there was a $26.9 million increase in dividends paid in 2022 as a result of the 11.1% increase in our quarterly dividend per share. Partially offsetting these increases in net cash used in financing activities were $6.0 million in net contributions from non-controlling interests in consolidated entities. The remaining change in reported cash flows from financing activities is primarily attributable to $55.9 million in net redemptions from redeemable non-controlling interest holders of our consolidated investment products during the first quarter of 2022 as compared to $183.1 million in net subscriptions received from redeemable non-controlling interest holders of our consolidated investment products during the first quarter of 2021.</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CRITICAL ACCOUNTING POLICIES.</w:t>
      </w:r>
    </w:p>
    <w:p>
      <w:pPr>
        <w:spacing w:after="0" w:line="25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unaudited condensed consolidated balance sheets, the revenues and expenses in our unaudited condensed consolidated statements of income, and the information that is contained in our significant accounting policies and notes to unaudited condensed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unaudited condensed consolidated financial statements, significant accounting policies, and notes.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the critical accounting policies previously identified in our 2021 Annual Report on Form 10-K.</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NEWLY-ISSUED BUT NOT YET ADOPTED ACCOUNTING GUIDANCE.</w:t>
      </w:r>
    </w:p>
    <w:p>
      <w:pPr>
        <w:spacing w:after="0" w:line="250"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1 - The Company and Basis of Preparation</w:t>
      </w:r>
      <w:r>
        <w:rPr>
          <w:rFonts w:ascii="Arial" w:cs="Arial" w:eastAsia="Arial" w:hAnsi="Arial"/>
          <w:sz w:val="18"/>
          <w:szCs w:val="18"/>
          <w:color w:val="auto"/>
        </w:rPr>
        <w:t xml:space="preserve"> note within </w:t>
      </w:r>
      <w:r>
        <w:rPr>
          <w:rFonts w:ascii="Arial" w:cs="Arial" w:eastAsia="Arial" w:hAnsi="Arial"/>
          <w:sz w:val="18"/>
          <w:szCs w:val="18"/>
          <w:i w:val="1"/>
          <w:iCs w:val="1"/>
          <w:color w:val="auto"/>
        </w:rPr>
        <w:t>Item 1. Financial Statements</w:t>
      </w:r>
      <w:r>
        <w:rPr>
          <w:rFonts w:ascii="Arial" w:cs="Arial" w:eastAsia="Arial" w:hAnsi="Arial"/>
          <w:sz w:val="18"/>
          <w:szCs w:val="18"/>
          <w:color w:val="auto"/>
        </w:rPr>
        <w:t xml:space="preserve"> for a discussion of newly issued but not yet adopted accounting guidance.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u w:val="single" w:color="auto"/>
          <w:color w:val="auto"/>
        </w:rPr>
        <w:t>FORWARD-LOOKING INFORMATION.</w:t>
      </w:r>
    </w:p>
    <w:p>
      <w:pPr>
        <w:spacing w:after="0" w:line="2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of common stock; changes in the amount and composition of our assets under management; our expense levels; our tax rate; the timing and expense related to the integration of OHA with and into our business; and our expectations regarding financial markets, future transactions, dividends, stock repurchases, investments, new products and services, capital expenditures, changes in our effective fee rate, the impact of the coronavirus pandemic, and other market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included in our Form 10-K Annual Report for 2021.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20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future revenues and results of operations will fluctuate primarily due to changes in the total value and composition of assets under our management. Such changes result from many factors, including, among other things: cash inflows and outflows in the U.S. mutual funds, subadvised funds, separately managed accounts, collective investment trusts, and other investment products, performance fees, capital allocation-based income, fluctuations in global financial markets that result in appreciation or depreciation of the assets under our management, our introduction of new mutual funds and investment products, changes in retirement savings trends relative to participant-directed investments and defined contribution plans, and the impact of the coronavirus outbreak. The ability to attract and retain investors’ assets under our management is dependent on investor sentiment and confidence; the relative investment performance of the T. Rowe Price mutual funds and other managed investment products as compared with competing offerings and market indexes; the ability to maintain our investment management and administrative fees at appropriate levels; competitive conditions in the mutual fund, asset management, and broader financial services sectors; our level of success in implementing our strategy to expand our business, including our establishment of T. Rowe Price Investment Management as a separate registered investment adviser; and our ability to attract and retain key personnel. Our revenues are substantially dependent on fees earned under contracts with the T. Rowe Price funds and could be adversely affected if the independent directors of one or more of the T. Rowe Price funds terminated or significantly altered the terms of the investment management or related administrative services agreements. Non-operating investment income will also fluctuate primarily due to the size of our investments, changes in their market valuations, and any other-than-temporary impairments that may arise or, in the case of our equity method investments, our proportionate share of the investees' net income.</w:t>
      </w:r>
    </w:p>
    <w:p>
      <w:pPr>
        <w:spacing w:after="0" w:line="22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future results are also dependent upon the level of our expenses, which are subject to fluctuation for the following or other reasons: changes in the level of our advertising and promotion expenses in response to market conditions, including our efforts to expand our investment advisory business to investors outside the U.S. and to further penetrate our distribution channels within the U.S.; the pace and level of spending to support key strategic priorities, including the integration of OHA with and into our business; variations in the level of total compensation expense due to, among other things, bonuses, restricted stock units and other equity grants, other incentive awards, our supplemental savings plan, changes in our employee count and mix, and competitive factors; any goodwill or other asset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the timing of the assumption of all third party research payments, unanticipated costs that may be incurred to protect investor accounts and the goodwill of our clients; and disruptions of services, including those provided by third parties, such as fund and product recordkeeping, facilities, communications, power, and the mutual fund transfer agent and accounting systems.</w:t>
      </w:r>
    </w:p>
    <w:p>
      <w:pPr>
        <w:spacing w:after="0" w:line="209"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T. Rowe Price investment products and investing in general or in particular classes of mutual funds or other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5"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total potential loss information provided in Item 7A of the Form 10-K Annual Report for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management, including our principal executive and principal financial officers, has evaluated the effectiveness of our disclosure controls and procedures as of March 31, 2022. Based on that evaluation, our principal executive and principal financial officers have concluded that our disclosure controls and procedures as of March 31, 2022,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21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first quarter of 2022, and has concluded that there was no change during the first quarter of 2022 that has materially affected, or is reasonably likely to materially affect, our internal control over financial reporting.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2"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For information about our legal proceedings, please see our Commitments and Contingencies footnote to our unaudited condensed consolidated financial statements in Part 1. of this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the information provided in Item 1A of our Form 10-K Annual Report for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 Repurchase activity during the first quarter of 2022 is as follows: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44"/>
        </w:trPr>
        <w:tc>
          <w:tcPr>
            <w:tcW w:w="3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Total Number of</w:t>
            </w:r>
          </w:p>
        </w:tc>
        <w:tc>
          <w:tcPr>
            <w:tcW w:w="240" w:type="dxa"/>
            <w:vAlign w:val="bottom"/>
            <w:shd w:val="clear" w:color="auto" w:fill="CCEEFF"/>
          </w:tcPr>
          <w:p>
            <w:pPr>
              <w:spacing w:after="0"/>
              <w:rPr>
                <w:sz w:val="12"/>
                <w:szCs w:val="12"/>
                <w:color w:val="auto"/>
              </w:rPr>
            </w:pPr>
          </w:p>
        </w:tc>
        <w:tc>
          <w:tcPr>
            <w:tcW w:w="1620" w:type="dxa"/>
            <w:vAlign w:val="bottom"/>
            <w:gridSpan w:val="2"/>
            <w:vMerge w:val="restart"/>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Average Price</w:t>
            </w:r>
          </w:p>
        </w:tc>
        <w:tc>
          <w:tcPr>
            <w:tcW w:w="190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b w:val="1"/>
                <w:bCs w:val="1"/>
                <w:color w:val="auto"/>
              </w:rPr>
              <w:t>Shares Purchased as</w:t>
            </w: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48"/>
        </w:trPr>
        <w:tc>
          <w:tcPr>
            <w:tcW w:w="37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Month</w:t>
            </w:r>
          </w:p>
        </w:tc>
        <w:tc>
          <w:tcPr>
            <w:tcW w:w="1880" w:type="dxa"/>
            <w:vAlign w:val="bottom"/>
            <w:gridSpan w:val="2"/>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20" w:type="dxa"/>
            <w:vAlign w:val="bottom"/>
            <w:gridSpan w:val="2"/>
            <w:vMerge w:val="continue"/>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rPr>
              <w:t>Part of Publicly</w:t>
            </w: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89"/>
        </w:trPr>
        <w:tc>
          <w:tcPr>
            <w:tcW w:w="3740" w:type="dxa"/>
            <w:vAlign w:val="bottom"/>
            <w:gridSpan w:val="2"/>
            <w:vMerge w:val="continue"/>
            <w:shd w:val="clear" w:color="auto" w:fill="CCEEFF"/>
          </w:tcPr>
          <w:p>
            <w:pPr>
              <w:spacing w:after="0"/>
              <w:rPr>
                <w:sz w:val="16"/>
                <w:szCs w:val="16"/>
                <w:color w:val="auto"/>
              </w:rPr>
            </w:pP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Shares Purchased</w:t>
            </w:r>
          </w:p>
        </w:tc>
        <w:tc>
          <w:tcPr>
            <w:tcW w:w="24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Paid per Share</w:t>
            </w:r>
          </w:p>
        </w:tc>
        <w:tc>
          <w:tcPr>
            <w:tcW w:w="19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Announced Program</w:t>
            </w: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Program</w:t>
            </w:r>
          </w:p>
        </w:tc>
        <w:tc>
          <w:tcPr>
            <w:tcW w:w="0" w:type="dxa"/>
            <w:vAlign w:val="bottom"/>
          </w:tcPr>
          <w:p>
            <w:pPr>
              <w:spacing w:after="0"/>
              <w:rPr>
                <w:sz w:val="1"/>
                <w:szCs w:val="1"/>
                <w:color w:val="auto"/>
              </w:rPr>
            </w:pPr>
          </w:p>
        </w:tc>
      </w:tr>
      <w:tr>
        <w:trPr>
          <w:trHeight w:val="223"/>
        </w:trPr>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January</w:t>
            </w:r>
          </w:p>
        </w:tc>
        <w:tc>
          <w:tcPr>
            <w:tcW w:w="100" w:type="dxa"/>
            <w:vAlign w:val="bottom"/>
          </w:tcPr>
          <w:p>
            <w:pPr>
              <w:spacing w:after="0"/>
              <w:rPr>
                <w:sz w:val="19"/>
                <w:szCs w:val="19"/>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603,619</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173.23</w:t>
            </w:r>
          </w:p>
        </w:tc>
        <w:tc>
          <w:tcPr>
            <w:tcW w:w="100" w:type="dxa"/>
            <w:vAlign w:val="bottom"/>
          </w:tcPr>
          <w:p>
            <w:pPr>
              <w:spacing w:after="0"/>
              <w:rPr>
                <w:sz w:val="19"/>
                <w:szCs w:val="19"/>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19"/>
                <w:szCs w:val="19"/>
                <w:color w:val="auto"/>
              </w:rPr>
            </w:pPr>
          </w:p>
        </w:tc>
        <w:tc>
          <w:tcPr>
            <w:tcW w:w="176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color w:val="auto"/>
              </w:rPr>
              <w:t>14,925,910</w:t>
            </w: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February</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912,273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145.01</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889,270</w:t>
            </w:r>
          </w:p>
        </w:tc>
        <w:tc>
          <w:tcPr>
            <w:tcW w:w="186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14,036,640</w:t>
            </w:r>
          </w:p>
        </w:tc>
        <w:tc>
          <w:tcPr>
            <w:tcW w:w="0" w:type="dxa"/>
            <w:vAlign w:val="bottom"/>
          </w:tcPr>
          <w:p>
            <w:pPr>
              <w:spacing w:after="0"/>
              <w:rPr>
                <w:sz w:val="1"/>
                <w:szCs w:val="1"/>
                <w:color w:val="auto"/>
              </w:rPr>
            </w:pPr>
          </w:p>
        </w:tc>
      </w:tr>
      <w:tr>
        <w:trPr>
          <w:trHeight w:val="229"/>
        </w:trPr>
        <w:tc>
          <w:tcPr>
            <w:tcW w:w="374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8"/>
                <w:szCs w:val="18"/>
                <w:color w:val="auto"/>
                <w:w w:val="99"/>
              </w:rPr>
              <w:t>March</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619,593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141.46</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618,000</w:t>
            </w:r>
          </w:p>
        </w:tc>
        <w:tc>
          <w:tcPr>
            <w:tcW w:w="1860" w:type="dxa"/>
            <w:vAlign w:val="bottom"/>
            <w:tcBorders>
              <w:bottom w:val="single" w:sz="8" w:color="CCEEFF"/>
            </w:tcBorders>
            <w:gridSpan w:val="2"/>
          </w:tcPr>
          <w:p>
            <w:pPr>
              <w:jc w:val="right"/>
              <w:ind w:right="4"/>
              <w:spacing w:after="0"/>
              <w:rPr>
                <w:sz w:val="20"/>
                <w:szCs w:val="20"/>
                <w:color w:val="auto"/>
              </w:rPr>
            </w:pPr>
            <w:r>
              <w:rPr>
                <w:rFonts w:ascii="Arial" w:cs="Arial" w:eastAsia="Arial" w:hAnsi="Arial"/>
                <w:sz w:val="18"/>
                <w:szCs w:val="18"/>
                <w:color w:val="auto"/>
              </w:rPr>
              <w:t>13,418,640</w:t>
            </w: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2,135,485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151.96</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2,107,270</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 outstanding shares surrendered to the company to pay the exercise price in connection with swap exercises of employee stock options, and shares withheld to cover the minimum tax withholding obligation associated with the vesting of restricted stock awards. Of the total number of shares purchased during the first quarter of 2022, 28,215 were related to shares surrendered in connection with employee stock option exercises and no shares were withheld to cover tax withholdings associated with the vesting of restricted stock awards.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The following table details the changes in and status of the Board of Directors’ outstanding publicly announced board authorizations.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Total Number of</w:t>
            </w:r>
          </w:p>
        </w:tc>
        <w:tc>
          <w:tcPr>
            <w:tcW w:w="1780" w:type="dxa"/>
            <w:vAlign w:val="bottom"/>
            <w:shd w:val="clear" w:color="auto" w:fill="CCEEFF"/>
          </w:tcPr>
          <w:p>
            <w:pPr>
              <w:jc w:val="right"/>
              <w:ind w:right="99"/>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44"/>
        </w:trPr>
        <w:tc>
          <w:tcPr>
            <w:tcW w:w="5520" w:type="dxa"/>
            <w:vAlign w:val="bottom"/>
            <w:gridSpan w:val="2"/>
            <w:vMerge w:val="restart"/>
            <w:shd w:val="clear" w:color="auto" w:fill="CCEEFF"/>
          </w:tcPr>
          <w:p>
            <w:pPr>
              <w:ind w:left="2040"/>
              <w:spacing w:after="0"/>
              <w:rPr>
                <w:sz w:val="20"/>
                <w:szCs w:val="20"/>
                <w:color w:val="auto"/>
              </w:rPr>
            </w:pPr>
            <w:r>
              <w:rPr>
                <w:rFonts w:ascii="Arial" w:cs="Arial" w:eastAsia="Arial" w:hAnsi="Arial"/>
                <w:sz w:val="14"/>
                <w:szCs w:val="14"/>
                <w:b w:val="1"/>
                <w:bCs w:val="1"/>
                <w:color w:val="auto"/>
              </w:rPr>
              <w:t>Authorization Dates</w:t>
            </w:r>
          </w:p>
        </w:tc>
        <w:tc>
          <w:tcPr>
            <w:tcW w:w="1780" w:type="dxa"/>
            <w:vAlign w:val="bottom"/>
            <w:vMerge w:val="restart"/>
            <w:shd w:val="clear" w:color="auto" w:fill="CCEEFF"/>
          </w:tcPr>
          <w:p>
            <w:pPr>
              <w:jc w:val="right"/>
              <w:ind w:right="515"/>
              <w:spacing w:after="0"/>
              <w:rPr>
                <w:sz w:val="20"/>
                <w:szCs w:val="20"/>
                <w:color w:val="auto"/>
              </w:rPr>
            </w:pPr>
            <w:r>
              <w:rPr>
                <w:rFonts w:ascii="Arial" w:cs="Arial" w:eastAsia="Arial" w:hAnsi="Arial"/>
                <w:sz w:val="14"/>
                <w:szCs w:val="14"/>
                <w:b w:val="1"/>
                <w:bCs w:val="1"/>
                <w:color w:val="auto"/>
              </w:rPr>
              <w:t>1/1/2022</w:t>
            </w:r>
          </w:p>
        </w:tc>
        <w:tc>
          <w:tcPr>
            <w:tcW w:w="100" w:type="dxa"/>
            <w:vAlign w:val="bottom"/>
            <w:shd w:val="clear" w:color="auto" w:fill="CCEEFF"/>
          </w:tcPr>
          <w:p>
            <w:pPr>
              <w:spacing w:after="0"/>
              <w:rPr>
                <w:sz w:val="12"/>
                <w:szCs w:val="12"/>
                <w:color w:val="auto"/>
              </w:rPr>
            </w:pPr>
          </w:p>
        </w:tc>
        <w:tc>
          <w:tcPr>
            <w:tcW w:w="2020" w:type="dxa"/>
            <w:vAlign w:val="bottom"/>
            <w:gridSpan w:val="2"/>
            <w:vMerge w:val="continue"/>
            <w:shd w:val="clear" w:color="auto" w:fill="CCEEFF"/>
          </w:tcPr>
          <w:p>
            <w:pPr>
              <w:spacing w:after="0"/>
              <w:rPr>
                <w:sz w:val="12"/>
                <w:szCs w:val="12"/>
                <w:color w:val="auto"/>
              </w:rPr>
            </w:pPr>
          </w:p>
        </w:tc>
        <w:tc>
          <w:tcPr>
            <w:tcW w:w="1780" w:type="dxa"/>
            <w:vAlign w:val="bottom"/>
            <w:shd w:val="clear" w:color="auto" w:fill="CCEEFF"/>
          </w:tcPr>
          <w:p>
            <w:pPr>
              <w:jc w:val="right"/>
              <w:ind w:right="19"/>
              <w:spacing w:after="0" w:line="145"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89"/>
        </w:trPr>
        <w:tc>
          <w:tcPr>
            <w:tcW w:w="5520" w:type="dxa"/>
            <w:vAlign w:val="bottom"/>
            <w:gridSpan w:val="2"/>
            <w:vMerge w:val="continue"/>
            <w:shd w:val="clear" w:color="auto" w:fill="CCEEFF"/>
          </w:tcPr>
          <w:p>
            <w:pPr>
              <w:spacing w:after="0"/>
              <w:rPr>
                <w:sz w:val="16"/>
                <w:szCs w:val="16"/>
                <w:color w:val="auto"/>
              </w:rPr>
            </w:pPr>
          </w:p>
        </w:tc>
        <w:tc>
          <w:tcPr>
            <w:tcW w:w="1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Shares Purchased</w:t>
            </w:r>
          </w:p>
        </w:tc>
        <w:tc>
          <w:tcPr>
            <w:tcW w:w="1780" w:type="dxa"/>
            <w:vAlign w:val="bottom"/>
            <w:shd w:val="clear" w:color="auto" w:fill="CCEEFF"/>
          </w:tcPr>
          <w:p>
            <w:pPr>
              <w:jc w:val="right"/>
              <w:ind w:right="19"/>
              <w:spacing w:after="0"/>
              <w:rPr>
                <w:sz w:val="20"/>
                <w:szCs w:val="20"/>
                <w:color w:val="auto"/>
              </w:rPr>
            </w:pPr>
            <w:r>
              <w:rPr>
                <w:rFonts w:ascii="Arial" w:cs="Arial" w:eastAsia="Arial" w:hAnsi="Arial"/>
                <w:sz w:val="14"/>
                <w:szCs w:val="14"/>
                <w:b w:val="1"/>
                <w:bCs w:val="1"/>
                <w:color w:val="auto"/>
              </w:rPr>
              <w:t>Purchased at 3/31/2022</w:t>
            </w:r>
          </w:p>
        </w:tc>
        <w:tc>
          <w:tcPr>
            <w:tcW w:w="0" w:type="dxa"/>
            <w:vAlign w:val="bottom"/>
          </w:tcPr>
          <w:p>
            <w:pPr>
              <w:spacing w:after="0"/>
              <w:rPr>
                <w:sz w:val="1"/>
                <w:szCs w:val="1"/>
                <w:color w:val="auto"/>
              </w:rPr>
            </w:pPr>
          </w:p>
        </w:tc>
      </w:tr>
      <w:tr>
        <w:trPr>
          <w:trHeight w:val="223"/>
        </w:trPr>
        <w:tc>
          <w:tcPr>
            <w:tcW w:w="5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February 2019</w:t>
            </w:r>
          </w:p>
        </w:tc>
        <w:tc>
          <w:tcPr>
            <w:tcW w:w="100" w:type="dxa"/>
            <w:vAlign w:val="bottom"/>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525,910</w:t>
            </w:r>
          </w:p>
        </w:tc>
        <w:tc>
          <w:tcPr>
            <w:tcW w:w="100" w:type="dxa"/>
            <w:vAlign w:val="bottom"/>
          </w:tcPr>
          <w:p>
            <w:pPr>
              <w:spacing w:after="0"/>
              <w:rPr>
                <w:sz w:val="19"/>
                <w:szCs w:val="19"/>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(525,910)</w:t>
            </w:r>
          </w:p>
        </w:tc>
        <w:tc>
          <w:tcPr>
            <w:tcW w:w="120" w:type="dxa"/>
            <w:vAlign w:val="bottom"/>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2020</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(1,581,360)</w:t>
            </w:r>
          </w:p>
        </w:tc>
        <w:tc>
          <w:tcPr>
            <w:tcW w:w="12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13,418,640</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15,525,910</w:t>
            </w:r>
          </w:p>
        </w:tc>
        <w:tc>
          <w:tcPr>
            <w:tcW w:w="100" w:type="dxa"/>
            <w:vAlign w:val="bottom"/>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(2,107,270)</w:t>
            </w:r>
          </w:p>
        </w:tc>
        <w:tc>
          <w:tcPr>
            <w:tcW w:w="12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13,418,640</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2"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On April 28, 2022, we issued an earnings release reporting our results of operations for the first quarter of 2022. A copy of that earnings release is furnished herewith as Exhibit 99.1. This information shall not be deemed filed for purposes of Section 18 of the Securities Exchange Act of 1934, nor shall it be deemed incorporated by reference in any filing under the Securities Act of 1933.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pacing w:after="0" w:line="131" w:lineRule="exact"/>
        <w:rPr>
          <w:sz w:val="20"/>
          <w:szCs w:val="20"/>
          <w:color w:val="auto"/>
        </w:rPr>
      </w:pPr>
    </w:p>
    <w:p>
      <w:pPr>
        <w:ind w:left="20"/>
        <w:spacing w:after="0"/>
        <w:tabs>
          <w:tab w:leader="none" w:pos="1720" w:val="left"/>
        </w:tabs>
        <w:rPr>
          <w:rFonts w:ascii="Arial" w:cs="Arial" w:eastAsia="Arial" w:hAnsi="Arial"/>
          <w:sz w:val="18"/>
          <w:szCs w:val="18"/>
          <w:color w:val="auto"/>
        </w:rPr>
      </w:pPr>
      <w:r>
        <w:rPr>
          <w:rFonts w:ascii="Arial" w:cs="Arial" w:eastAsia="Arial" w:hAnsi="Arial"/>
          <w:sz w:val="18"/>
          <w:szCs w:val="18"/>
          <w:color w:val="auto"/>
        </w:rPr>
        <w:t>3(i)</w:t>
      </w:r>
      <w:r>
        <w:rPr>
          <w:sz w:val="20"/>
          <w:szCs w:val="20"/>
          <w:color w:val="auto"/>
        </w:rPr>
        <w:tab/>
      </w:r>
      <w:hyperlink r:id="rId56">
        <w:r>
          <w:rPr>
            <w:rFonts w:ascii="Arial" w:cs="Arial" w:eastAsia="Arial" w:hAnsi="Arial"/>
            <w:sz w:val="18"/>
            <w:szCs w:val="18"/>
            <w:color w:val="auto"/>
          </w:rPr>
          <w:t>Charter of T. Rowe Price Group, Inc., as reflected by Articles of Restatement dated June 20, 2018. (Incorporated by</w:t>
        </w:r>
      </w:hyperlink>
    </w:p>
    <w:p>
      <w:pPr>
        <w:ind w:left="1740"/>
        <w:spacing w:after="0"/>
        <w:rPr>
          <w:rFonts w:ascii="Arial" w:cs="Arial" w:eastAsia="Arial" w:hAnsi="Arial"/>
          <w:sz w:val="18"/>
          <w:szCs w:val="18"/>
          <w:color w:val="auto"/>
        </w:rPr>
      </w:pPr>
      <w:hyperlink r:id="rId56">
        <w:r>
          <w:rPr>
            <w:rFonts w:ascii="Arial" w:cs="Arial" w:eastAsia="Arial" w:hAnsi="Arial"/>
            <w:sz w:val="18"/>
            <w:szCs w:val="18"/>
            <w:color w:val="auto"/>
          </w:rPr>
          <w:t>reference from Form 10-Q Quarterly Report filed on July 25, 2018.)</w:t>
        </w:r>
      </w:hyperlink>
    </w:p>
    <w:p>
      <w:pPr>
        <w:spacing w:after="0" w:line="59" w:lineRule="exact"/>
        <w:rPr>
          <w:sz w:val="20"/>
          <w:szCs w:val="20"/>
          <w:color w:val="auto"/>
        </w:rPr>
      </w:pPr>
    </w:p>
    <w:p>
      <w:pPr>
        <w:ind w:left="20"/>
        <w:spacing w:after="0"/>
        <w:tabs>
          <w:tab w:leader="none" w:pos="1720" w:val="left"/>
        </w:tabs>
        <w:rPr>
          <w:rFonts w:ascii="Arial" w:cs="Arial" w:eastAsia="Arial" w:hAnsi="Arial"/>
          <w:sz w:val="18"/>
          <w:szCs w:val="18"/>
          <w:color w:val="auto"/>
        </w:rPr>
      </w:pPr>
      <w:r>
        <w:rPr>
          <w:rFonts w:ascii="Arial" w:cs="Arial" w:eastAsia="Arial" w:hAnsi="Arial"/>
          <w:sz w:val="18"/>
          <w:szCs w:val="18"/>
          <w:color w:val="auto"/>
        </w:rPr>
        <w:t>3(ii)</w:t>
      </w:r>
      <w:r>
        <w:rPr>
          <w:sz w:val="20"/>
          <w:szCs w:val="20"/>
          <w:color w:val="auto"/>
        </w:rPr>
        <w:tab/>
      </w:r>
      <w:hyperlink r:id="rId57">
        <w:r>
          <w:rPr>
            <w:rFonts w:ascii="Arial" w:cs="Arial" w:eastAsia="Arial" w:hAnsi="Arial"/>
            <w:sz w:val="18"/>
            <w:szCs w:val="18"/>
            <w:color w:val="auto"/>
          </w:rPr>
          <w:t>Amended and Restated By-Laws of T. Rowe Price Group, Inc. as of February 9, 2021. (Incorporated by reference from</w:t>
        </w:r>
      </w:hyperlink>
    </w:p>
    <w:p>
      <w:pPr>
        <w:ind w:left="1740"/>
        <w:spacing w:after="0"/>
        <w:rPr>
          <w:rFonts w:ascii="Arial" w:cs="Arial" w:eastAsia="Arial" w:hAnsi="Arial"/>
          <w:sz w:val="18"/>
          <w:szCs w:val="18"/>
          <w:color w:val="auto"/>
        </w:rPr>
      </w:pPr>
      <w:hyperlink r:id="rId57">
        <w:r>
          <w:rPr>
            <w:rFonts w:ascii="Arial" w:cs="Arial" w:eastAsia="Arial" w:hAnsi="Arial"/>
            <w:sz w:val="18"/>
            <w:szCs w:val="18"/>
            <w:color w:val="auto"/>
          </w:rPr>
          <w:t>Form 10-K Annual Report filed on February 11, 2021.)</w:t>
        </w:r>
      </w:hyperlink>
    </w:p>
    <w:p>
      <w:pPr>
        <w:sectPr>
          <w:pgSz w:w="11900" w:h="16838" w:orient="portrait"/>
          <w:cols w:equalWidth="0" w:num="1">
            <w:col w:w="11200"/>
          </w:cols>
          <w:pgMar w:left="320" w:top="890" w:right="379" w:bottom="1440" w:gutter="0" w:footer="0" w:header="0"/>
        </w:sectPr>
      </w:pP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15</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31(i).1</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31(i).2</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99.1</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Report from KPMG LLP, independent registered public accounting firm, re unaudited interim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Principal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Principal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1350 Certifications.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Earnings release issued April 28, 2022, reporting our results of operations for the first quarter of 2022.</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series of unaudited XBRL-formatted documents are collectively included herewith as Exhibit 101. The financial</w:t>
      </w:r>
    </w:p>
    <w:p>
      <w:pPr>
        <w:spacing w:after="0" w:line="33" w:lineRule="exact"/>
        <w:rPr>
          <w:sz w:val="20"/>
          <w:szCs w:val="20"/>
          <w:color w:val="auto"/>
        </w:rPr>
      </w:pPr>
    </w:p>
    <w:p>
      <w:pPr>
        <w:sectPr>
          <w:pgSz w:w="11900" w:h="16838" w:orient="portrait"/>
          <w:cols w:equalWidth="0" w:num="2">
            <w:col w:w="1020" w:space="720"/>
            <w:col w:w="9460"/>
          </w:cols>
          <w:pgMar w:left="320" w:top="890" w:right="379" w:bottom="1440" w:gutter="0" w:footer="0" w:header="0"/>
          <w:type w:val="continuous"/>
        </w:sectPr>
      </w:pP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101.INS</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101.SCH</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101.CAL</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101.LAB</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101.PRE</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101.DEF</w:t>
      </w:r>
    </w:p>
    <w:p>
      <w:pPr>
        <w:spacing w:after="0" w:line="20" w:lineRule="exact"/>
        <w:rPr>
          <w:sz w:val="20"/>
          <w:szCs w:val="20"/>
          <w:color w:val="auto"/>
        </w:rPr>
      </w:pPr>
      <w:r>
        <w:rPr>
          <w:sz w:val="20"/>
          <w:szCs w:val="20"/>
          <w:color w:val="auto"/>
        </w:rPr>
        <w:br w:type="column"/>
      </w:r>
    </w:p>
    <w:p>
      <w:pPr>
        <w:ind w:right="420"/>
        <w:spacing w:after="0" w:line="268" w:lineRule="auto"/>
        <w:rPr>
          <w:sz w:val="20"/>
          <w:szCs w:val="20"/>
          <w:color w:val="auto"/>
        </w:rPr>
      </w:pPr>
      <w:r>
        <w:rPr>
          <w:rFonts w:ascii="Arial" w:cs="Arial" w:eastAsia="Arial" w:hAnsi="Arial"/>
          <w:sz w:val="17"/>
          <w:szCs w:val="17"/>
          <w:color w:val="auto"/>
        </w:rPr>
        <w:t>information is extracted from T. Rowe Price Group’s unaudited condensed consolidated interim financial statements and notes that are included in this Form 10-Q Report.</w:t>
      </w:r>
    </w:p>
    <w:p>
      <w:pPr>
        <w:spacing w:after="0" w:line="6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XBRL Instance Document - the instance document does not appear in the Interactive Data File because its XBRL tags are embedded within the Inline XBRL document.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Calculation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Label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Presentation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Definition Linkbase Document</w:t>
      </w:r>
    </w:p>
    <w:p>
      <w:pPr>
        <w:spacing w:after="0" w:line="200" w:lineRule="exact"/>
        <w:rPr>
          <w:sz w:val="20"/>
          <w:szCs w:val="20"/>
          <w:color w:val="auto"/>
        </w:rPr>
      </w:pPr>
    </w:p>
    <w:p>
      <w:pPr>
        <w:sectPr>
          <w:pgSz w:w="11900" w:h="16838" w:orient="portrait"/>
          <w:cols w:equalWidth="0" w:num="2">
            <w:col w:w="1020" w:space="720"/>
            <w:col w:w="9460"/>
          </w:cols>
          <w:pgMar w:left="320" w:top="890" w:right="37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type w:val="continuous"/>
        </w:sectPr>
      </w:pPr>
    </w:p>
    <w:bookmarkStart w:id="38" w:name="page39"/>
    <w:bookmarkEnd w:id="38"/>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April 28, 2022.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Jennifer B. Dardis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39</w:t>
      </w:r>
    </w:p>
    <w:p>
      <w:pPr>
        <w:sectPr>
          <w:pgSz w:w="11900" w:h="16838" w:orient="portrait"/>
          <w:cols w:equalWidth="0" w:num="1">
            <w:col w:w="11120"/>
          </w:cols>
          <w:pgMar w:left="320" w:top="890" w:right="459" w:bottom="1440" w:gutter="0" w:footer="0" w:header="0"/>
        </w:sectPr>
      </w:pPr>
    </w:p>
    <w:bookmarkStart w:id="39" w:name="page40"/>
    <w:bookmarkEnd w:id="39"/>
    <w:p>
      <w:pPr>
        <w:ind w:left="3860"/>
        <w:spacing w:after="0"/>
        <w:rPr>
          <w:sz w:val="20"/>
          <w:szCs w:val="20"/>
          <w:color w:val="auto"/>
        </w:rPr>
      </w:pPr>
      <w:r>
        <w:rPr>
          <w:rFonts w:ascii="Arial" w:cs="Arial" w:eastAsia="Arial" w:hAnsi="Arial"/>
          <w:sz w:val="18"/>
          <w:szCs w:val="18"/>
          <w:color w:val="auto"/>
        </w:rPr>
        <w:t>EXHIBIT 15</w:t>
      </w:r>
    </w:p>
    <w:p>
      <w:pPr>
        <w:spacing w:after="0" w:line="20" w:lineRule="exact"/>
        <w:rPr>
          <w:sz w:val="20"/>
          <w:szCs w:val="20"/>
          <w:color w:val="auto"/>
        </w:rPr>
      </w:pPr>
      <w:r>
        <w:rPr>
          <w:sz w:val="20"/>
          <w:szCs w:val="20"/>
          <w:color w:val="auto"/>
        </w:rPr>
        <w:br w:type="column"/>
      </w:r>
    </w:p>
    <w:p>
      <w:pPr>
        <w:jc w:val="right"/>
        <w:spacing w:after="0" w:line="287" w:lineRule="auto"/>
        <w:rPr>
          <w:sz w:val="20"/>
          <w:szCs w:val="20"/>
          <w:color w:val="auto"/>
        </w:rPr>
      </w:pPr>
      <w:r>
        <w:rPr>
          <w:rFonts w:ascii="Arial" w:cs="Arial" w:eastAsia="Arial" w:hAnsi="Arial"/>
          <w:sz w:val="18"/>
          <w:szCs w:val="18"/>
          <w:color w:val="auto"/>
        </w:rPr>
        <w:t>Letter from KPMG LLP, independent registered public accounting firm, re unaudited interim financial information</w:t>
      </w:r>
    </w:p>
    <w:p>
      <w:pPr>
        <w:spacing w:after="0" w:line="200" w:lineRule="exact"/>
        <w:rPr>
          <w:sz w:val="20"/>
          <w:szCs w:val="20"/>
          <w:color w:val="auto"/>
        </w:rPr>
      </w:pPr>
    </w:p>
    <w:p>
      <w:pPr>
        <w:sectPr>
          <w:pgSz w:w="11900" w:h="16838" w:orient="portrait"/>
          <w:cols w:equalWidth="0" w:num="2">
            <w:col w:w="4940" w:space="720"/>
            <w:col w:w="5580"/>
          </w:cols>
          <w:pgMar w:left="320" w:top="890" w:right="339" w:bottom="1440" w:gutter="0" w:footer="0" w:header="0"/>
        </w:sect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April 28,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00" w:lineRule="exact"/>
        <w:rPr>
          <w:sz w:val="20"/>
          <w:szCs w:val="20"/>
          <w:color w:val="auto"/>
        </w:rPr>
      </w:pPr>
    </w:p>
    <w:p>
      <w:pPr>
        <w:spacing w:after="0" w:line="277"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Re: Registration Statements No. 33-7012, No. 333-59714, No. 333-120882, No. 333-120883, No. 333-142092, No. 333-167317, No. 333-180904, No. 333-199560, No. 333-212705 , No. 333-217483, and No. 333-238319.</w:t>
      </w:r>
    </w:p>
    <w:p>
      <w:pPr>
        <w:spacing w:after="0" w:line="180"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April 28, 2022 related to our review of interim financial information.</w:t>
      </w:r>
    </w:p>
    <w:p>
      <w:pPr>
        <w:spacing w:after="0" w:line="18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ectPr>
          <w:pgSz w:w="11900" w:h="16838" w:orient="portrait"/>
          <w:cols w:equalWidth="0" w:num="1">
            <w:col w:w="11240"/>
          </w:cols>
          <w:pgMar w:left="320" w:top="890" w:right="339" w:bottom="1440" w:gutter="0" w:footer="0" w:header="0"/>
          <w:type w:val="continuous"/>
        </w:sectPr>
      </w:pPr>
    </w:p>
    <w:bookmarkStart w:id="40" w:name="page41"/>
    <w:bookmarkEnd w:id="40"/>
    <w:p>
      <w:pPr>
        <w:spacing w:after="0"/>
        <w:tabs>
          <w:tab w:leader="none" w:pos="2300" w:val="left"/>
        </w:tabs>
        <w:rPr>
          <w:sz w:val="20"/>
          <w:szCs w:val="20"/>
          <w:color w:val="auto"/>
        </w:rPr>
      </w:pPr>
      <w:r>
        <w:rPr>
          <w:rFonts w:ascii="Arial" w:cs="Arial" w:eastAsia="Arial" w:hAnsi="Arial"/>
          <w:sz w:val="18"/>
          <w:szCs w:val="18"/>
          <w:color w:val="auto"/>
        </w:rPr>
        <w:t>EXHIBIT 31(i).1</w:t>
      </w:r>
      <w:r>
        <w:rPr>
          <w:sz w:val="20"/>
          <w:szCs w:val="20"/>
          <w:color w:val="auto"/>
        </w:rPr>
        <w:tab/>
      </w:r>
      <w:r>
        <w:rPr>
          <w:rFonts w:ascii="Arial" w:cs="Arial" w:eastAsia="Arial" w:hAnsi="Arial"/>
          <w:sz w:val="17"/>
          <w:szCs w:val="17"/>
          <w:color w:val="auto"/>
        </w:rPr>
        <w:t>Rule 13a-14(a) Certification of Principal Executive Officer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Robert W. Sharps, certify that: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Form 10-Q Quarterly Report for the quarterly period ended March 31, 2022 of T. Rowe Price Group, Inc.;</w:t>
      </w:r>
    </w:p>
    <w:p>
      <w:pPr>
        <w:spacing w:after="0" w:line="90" w:lineRule="exact"/>
        <w:rPr>
          <w:sz w:val="20"/>
          <w:szCs w:val="20"/>
          <w:color w:val="auto"/>
        </w:rPr>
      </w:pPr>
    </w:p>
    <w:p>
      <w:pPr>
        <w:ind w:left="180" w:right="220" w:hanging="161"/>
        <w:spacing w:after="0" w:line="268"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sz w:val="20"/>
          <w:szCs w:val="20"/>
          <w:color w:val="auto"/>
        </w:rPr>
      </w:pPr>
    </w:p>
    <w:p>
      <w:pPr>
        <w:ind w:left="180" w:right="300" w:hanging="161"/>
        <w:spacing w:after="0" w:line="318" w:lineRule="auto"/>
        <w:rPr>
          <w:sz w:val="20"/>
          <w:szCs w:val="20"/>
          <w:color w:val="auto"/>
        </w:rPr>
      </w:pPr>
      <w:r>
        <w:rPr>
          <w:rFonts w:ascii="Arial" w:cs="Arial" w:eastAsia="Arial" w:hAnsi="Arial"/>
          <w:sz w:val="17"/>
          <w:szCs w:val="17"/>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sz w:val="20"/>
          <w:szCs w:val="20"/>
          <w:color w:val="auto"/>
        </w:rPr>
      </w:pPr>
    </w:p>
    <w:p>
      <w:pPr>
        <w:ind w:left="180" w:right="280" w:hanging="161"/>
        <w:spacing w:after="0" w:line="276"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80"/>
        <w:spacing w:after="0"/>
        <w:rPr>
          <w:sz w:val="20"/>
          <w:szCs w:val="20"/>
          <w:color w:val="auto"/>
        </w:rPr>
      </w:pPr>
      <w:r>
        <w:rPr>
          <w:rFonts w:ascii="Arial" w:cs="Arial" w:eastAsia="Arial" w:hAnsi="Arial"/>
          <w:sz w:val="18"/>
          <w:szCs w:val="18"/>
          <w:color w:val="auto"/>
        </w:rPr>
        <w:t>13a-15(f) and 15d-15(f)) for the registrant and have:</w:t>
      </w:r>
    </w:p>
    <w:p>
      <w:pPr>
        <w:spacing w:after="0" w:line="72" w:lineRule="exact"/>
        <w:rPr>
          <w:sz w:val="20"/>
          <w:szCs w:val="20"/>
          <w:color w:val="auto"/>
        </w:rPr>
      </w:pPr>
    </w:p>
    <w:p>
      <w:pPr>
        <w:ind w:left="180" w:right="280" w:firstLine="71"/>
        <w:spacing w:after="0" w:line="268" w:lineRule="auto"/>
        <w:tabs>
          <w:tab w:leader="none" w:pos="531"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8"/>
          <w:szCs w:val="18"/>
          <w:color w:val="auto"/>
        </w:rPr>
      </w:pPr>
    </w:p>
    <w:p>
      <w:pPr>
        <w:ind w:left="180" w:right="140" w:firstLine="71"/>
        <w:spacing w:after="0" w:line="268" w:lineRule="auto"/>
        <w:tabs>
          <w:tab w:leader="none" w:pos="531"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8"/>
          <w:szCs w:val="18"/>
          <w:color w:val="auto"/>
        </w:rPr>
      </w:pPr>
    </w:p>
    <w:p>
      <w:pPr>
        <w:jc w:val="both"/>
        <w:ind w:left="180" w:right="200" w:firstLine="71"/>
        <w:spacing w:after="0" w:line="268" w:lineRule="auto"/>
        <w:tabs>
          <w:tab w:leader="none" w:pos="521"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jc w:val="both"/>
        <w:ind w:left="180" w:right="40" w:firstLine="71"/>
        <w:spacing w:after="0" w:line="268" w:lineRule="auto"/>
        <w:tabs>
          <w:tab w:leader="none" w:pos="531"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sz w:val="20"/>
          <w:szCs w:val="20"/>
          <w:color w:val="auto"/>
        </w:rPr>
      </w:pPr>
    </w:p>
    <w:p>
      <w:pPr>
        <w:ind w:left="180" w:hanging="161"/>
        <w:spacing w:after="0" w:line="318" w:lineRule="auto"/>
        <w:rPr>
          <w:sz w:val="20"/>
          <w:szCs w:val="20"/>
          <w:color w:val="auto"/>
        </w:rPr>
      </w:pPr>
      <w:r>
        <w:rPr>
          <w:rFonts w:ascii="Arial" w:cs="Arial" w:eastAsia="Arial" w:hAnsi="Arial"/>
          <w:sz w:val="17"/>
          <w:szCs w:val="17"/>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sz w:val="20"/>
          <w:szCs w:val="20"/>
          <w:color w:val="auto"/>
        </w:rPr>
      </w:pPr>
    </w:p>
    <w:p>
      <w:pPr>
        <w:ind w:left="180" w:right="380" w:firstLine="71"/>
        <w:spacing w:after="0" w:line="287" w:lineRule="auto"/>
        <w:tabs>
          <w:tab w:leader="none" w:pos="531"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left="180" w:right="620" w:firstLine="71"/>
        <w:spacing w:after="0" w:line="287" w:lineRule="auto"/>
        <w:tabs>
          <w:tab w:leader="none" w:pos="531"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April 28, 2022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 Robert W. Sharps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220"/>
          </w:cols>
          <w:pgMar w:left="320" w:top="985" w:right="359" w:bottom="1440" w:gutter="0" w:footer="0" w:header="0"/>
        </w:sectPr>
      </w:pPr>
    </w:p>
    <w:bookmarkStart w:id="41" w:name="page42"/>
    <w:bookmarkEnd w:id="41"/>
    <w:p>
      <w:pPr>
        <w:spacing w:after="0"/>
        <w:tabs>
          <w:tab w:leader="none" w:pos="2340" w:val="left"/>
        </w:tabs>
        <w:rPr>
          <w:sz w:val="20"/>
          <w:szCs w:val="20"/>
          <w:color w:val="auto"/>
        </w:rPr>
      </w:pPr>
      <w:r>
        <w:rPr>
          <w:rFonts w:ascii="Arial" w:cs="Arial" w:eastAsia="Arial" w:hAnsi="Arial"/>
          <w:sz w:val="18"/>
          <w:szCs w:val="18"/>
          <w:color w:val="auto"/>
        </w:rPr>
        <w:t>EXHIBIT 31(i).2</w:t>
      </w:r>
      <w:r>
        <w:rPr>
          <w:sz w:val="20"/>
          <w:szCs w:val="20"/>
          <w:color w:val="auto"/>
        </w:rPr>
        <w:tab/>
      </w:r>
      <w:r>
        <w:rPr>
          <w:rFonts w:ascii="Arial" w:cs="Arial" w:eastAsia="Arial" w:hAnsi="Arial"/>
          <w:sz w:val="18"/>
          <w:szCs w:val="18"/>
          <w:color w:val="auto"/>
        </w:rPr>
        <w:t>Rule 13a-14(a) Certification of Principal Financial Officer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Jennifer B. Dardis, certify that: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Form 10-Q Quarterly Report for the quarterly period ended March 31, 2022 of T. Rowe Price Group, Inc.;</w:t>
      </w:r>
    </w:p>
    <w:p>
      <w:pPr>
        <w:spacing w:after="0" w:line="90" w:lineRule="exact"/>
        <w:rPr>
          <w:sz w:val="20"/>
          <w:szCs w:val="20"/>
          <w:color w:val="auto"/>
        </w:rPr>
      </w:pPr>
    </w:p>
    <w:p>
      <w:pPr>
        <w:ind w:left="180" w:right="220" w:hanging="161"/>
        <w:spacing w:after="0" w:line="268"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sz w:val="20"/>
          <w:szCs w:val="20"/>
          <w:color w:val="auto"/>
        </w:rPr>
      </w:pPr>
    </w:p>
    <w:p>
      <w:pPr>
        <w:ind w:left="180" w:right="300" w:hanging="161"/>
        <w:spacing w:after="0" w:line="318" w:lineRule="auto"/>
        <w:rPr>
          <w:sz w:val="20"/>
          <w:szCs w:val="20"/>
          <w:color w:val="auto"/>
        </w:rPr>
      </w:pPr>
      <w:r>
        <w:rPr>
          <w:rFonts w:ascii="Arial" w:cs="Arial" w:eastAsia="Arial" w:hAnsi="Arial"/>
          <w:sz w:val="17"/>
          <w:szCs w:val="17"/>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sz w:val="20"/>
          <w:szCs w:val="20"/>
          <w:color w:val="auto"/>
        </w:rPr>
      </w:pPr>
    </w:p>
    <w:p>
      <w:pPr>
        <w:ind w:left="180" w:right="280" w:hanging="161"/>
        <w:spacing w:after="0" w:line="276"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80"/>
        <w:spacing w:after="0"/>
        <w:rPr>
          <w:sz w:val="20"/>
          <w:szCs w:val="20"/>
          <w:color w:val="auto"/>
        </w:rPr>
      </w:pPr>
      <w:r>
        <w:rPr>
          <w:rFonts w:ascii="Arial" w:cs="Arial" w:eastAsia="Arial" w:hAnsi="Arial"/>
          <w:sz w:val="18"/>
          <w:szCs w:val="18"/>
          <w:color w:val="auto"/>
        </w:rPr>
        <w:t>13a-15(f) and 15d-15(f)) for the registrant and have:</w:t>
      </w:r>
    </w:p>
    <w:p>
      <w:pPr>
        <w:spacing w:after="0" w:line="72" w:lineRule="exact"/>
        <w:rPr>
          <w:sz w:val="20"/>
          <w:szCs w:val="20"/>
          <w:color w:val="auto"/>
        </w:rPr>
      </w:pPr>
    </w:p>
    <w:p>
      <w:pPr>
        <w:ind w:left="180" w:right="280" w:firstLine="71"/>
        <w:spacing w:after="0" w:line="268" w:lineRule="auto"/>
        <w:tabs>
          <w:tab w:leader="none" w:pos="531"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8"/>
          <w:szCs w:val="18"/>
          <w:color w:val="auto"/>
        </w:rPr>
      </w:pPr>
    </w:p>
    <w:p>
      <w:pPr>
        <w:ind w:left="180" w:right="140" w:firstLine="71"/>
        <w:spacing w:after="0" w:line="268" w:lineRule="auto"/>
        <w:tabs>
          <w:tab w:leader="none" w:pos="531"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8"/>
          <w:szCs w:val="18"/>
          <w:color w:val="auto"/>
        </w:rPr>
      </w:pPr>
    </w:p>
    <w:p>
      <w:pPr>
        <w:jc w:val="both"/>
        <w:ind w:left="180" w:right="200" w:firstLine="71"/>
        <w:spacing w:after="0" w:line="268" w:lineRule="auto"/>
        <w:tabs>
          <w:tab w:leader="none" w:pos="521"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jc w:val="both"/>
        <w:ind w:left="180" w:right="40" w:firstLine="71"/>
        <w:spacing w:after="0" w:line="268" w:lineRule="auto"/>
        <w:tabs>
          <w:tab w:leader="none" w:pos="531"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sz w:val="20"/>
          <w:szCs w:val="20"/>
          <w:color w:val="auto"/>
        </w:rPr>
      </w:pPr>
    </w:p>
    <w:p>
      <w:pPr>
        <w:ind w:left="180" w:hanging="161"/>
        <w:spacing w:after="0" w:line="318" w:lineRule="auto"/>
        <w:rPr>
          <w:sz w:val="20"/>
          <w:szCs w:val="20"/>
          <w:color w:val="auto"/>
        </w:rPr>
      </w:pPr>
      <w:r>
        <w:rPr>
          <w:rFonts w:ascii="Arial" w:cs="Arial" w:eastAsia="Arial" w:hAnsi="Arial"/>
          <w:sz w:val="17"/>
          <w:szCs w:val="17"/>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sz w:val="20"/>
          <w:szCs w:val="20"/>
          <w:color w:val="auto"/>
        </w:rPr>
      </w:pPr>
    </w:p>
    <w:p>
      <w:pPr>
        <w:ind w:left="180" w:right="380" w:firstLine="71"/>
        <w:spacing w:after="0" w:line="287" w:lineRule="auto"/>
        <w:tabs>
          <w:tab w:leader="none" w:pos="531"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left="180" w:right="620" w:firstLine="71"/>
        <w:spacing w:after="0" w:line="287" w:lineRule="auto"/>
        <w:tabs>
          <w:tab w:leader="none" w:pos="531"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April 28, 2022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 Jennifer B. Dardis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220"/>
          </w:cols>
          <w:pgMar w:left="320" w:top="985" w:right="359" w:bottom="1440" w:gutter="0" w:footer="0" w:header="0"/>
        </w:sectPr>
      </w:pPr>
    </w:p>
    <w:bookmarkStart w:id="42" w:name="page43"/>
    <w:bookmarkEnd w:id="42"/>
    <w:p>
      <w:pPr>
        <w:spacing w:after="0"/>
        <w:tabs>
          <w:tab w:leader="none" w:pos="278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7"/>
          <w:szCs w:val="17"/>
          <w:color w:val="auto"/>
        </w:rPr>
        <w:t>Section 1350 Certifications</w:t>
      </w:r>
    </w:p>
    <w:p>
      <w:pPr>
        <w:spacing w:after="0" w:line="200" w:lineRule="exact"/>
        <w:rPr>
          <w:sz w:val="20"/>
          <w:szCs w:val="20"/>
          <w:color w:val="auto"/>
        </w:rPr>
      </w:pPr>
    </w:p>
    <w:p>
      <w:pPr>
        <w:spacing w:after="0" w:line="228"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We certify, to the best of our knowledge, based upon a review of the Form 10-Q Quarterly Report for the quarterly period ended March 31, 2022, of T. Rowe Price Group, Inc., that:</w:t>
      </w:r>
    </w:p>
    <w:p>
      <w:pPr>
        <w:spacing w:after="0" w:line="31" w:lineRule="exact"/>
        <w:rPr>
          <w:sz w:val="20"/>
          <w:szCs w:val="20"/>
          <w:color w:val="auto"/>
        </w:rPr>
      </w:pPr>
    </w:p>
    <w:p>
      <w:pPr>
        <w:ind w:right="620" w:firstLine="8"/>
        <w:spacing w:after="0" w:line="287" w:lineRule="auto"/>
        <w:tabs>
          <w:tab w:leader="none" w:pos="27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Form 10-Q Quarterly Report fully complies with the requirements of Section 13(a) of the Securities Exchange Act of 1934, as amended; and</w:t>
      </w:r>
    </w:p>
    <w:p>
      <w:pPr>
        <w:spacing w:after="0" w:line="17" w:lineRule="exact"/>
        <w:rPr>
          <w:rFonts w:ascii="Arial" w:cs="Arial" w:eastAsia="Arial" w:hAnsi="Arial"/>
          <w:sz w:val="18"/>
          <w:szCs w:val="18"/>
          <w:color w:val="auto"/>
        </w:rPr>
      </w:pPr>
    </w:p>
    <w:p>
      <w:pPr>
        <w:ind w:firstLine="8"/>
        <w:spacing w:after="0" w:line="287" w:lineRule="auto"/>
        <w:tabs>
          <w:tab w:leader="none" w:pos="27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April 28, 2022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Robert W. Sharps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Jennifer B. Dardis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160"/>
          </w:cols>
          <w:pgMar w:left="320" w:top="985" w:right="41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5863590" cy="548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586359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9"/>
          <w:szCs w:val="29"/>
          <w:b w:val="1"/>
          <w:bCs w:val="1"/>
          <w:color w:val="05C3DE"/>
        </w:rPr>
        <w:t>NEWS RELEASE</w:t>
      </w: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 ROWE PRICE GROUP REPORTS FIRST QUARTER 2022 RESULTS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BALTIMORE (April 28, 2022) - T. Rowe Price Group, Inc. (NASDAQ-GS: TROW) today reported its results for the first quarter of 2022.</w:t>
      </w:r>
    </w:p>
    <w:p>
      <w:pPr>
        <w:spacing w:after="0" w:line="138"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22"/>
          <w:szCs w:val="22"/>
          <w:b w:val="1"/>
          <w:bCs w:val="1"/>
          <w:color w:val="40AEFF"/>
        </w:rPr>
      </w:pPr>
      <w:r>
        <w:rPr>
          <w:rFonts w:ascii="Arial" w:cs="Arial" w:eastAsia="Arial" w:hAnsi="Arial"/>
          <w:sz w:val="18"/>
          <w:szCs w:val="18"/>
          <w:b w:val="1"/>
          <w:bCs w:val="1"/>
          <w:color w:val="auto"/>
        </w:rPr>
        <w:t>Quarter end assets under management of $1.55 trillion</w:t>
      </w:r>
    </w:p>
    <w:p>
      <w:pPr>
        <w:spacing w:after="0" w:line="125" w:lineRule="exact"/>
        <w:rPr>
          <w:rFonts w:ascii="Arial" w:cs="Arial" w:eastAsia="Arial" w:hAnsi="Arial"/>
          <w:sz w:val="22"/>
          <w:szCs w:val="22"/>
          <w:b w:val="1"/>
          <w:bCs w:val="1"/>
          <w:color w:val="40AEFF"/>
        </w:rPr>
      </w:pPr>
    </w:p>
    <w:p>
      <w:pPr>
        <w:ind w:left="660" w:hanging="328"/>
        <w:spacing w:after="0"/>
        <w:tabs>
          <w:tab w:leader="none" w:pos="660" w:val="left"/>
        </w:tabs>
        <w:numPr>
          <w:ilvl w:val="0"/>
          <w:numId w:val="24"/>
        </w:numPr>
        <w:rPr>
          <w:rFonts w:ascii="Arial" w:cs="Arial" w:eastAsia="Arial" w:hAnsi="Arial"/>
          <w:sz w:val="22"/>
          <w:szCs w:val="22"/>
          <w:b w:val="1"/>
          <w:bCs w:val="1"/>
          <w:color w:val="40AEFF"/>
        </w:rPr>
      </w:pPr>
      <w:r>
        <w:rPr>
          <w:rFonts w:ascii="Arial" w:cs="Arial" w:eastAsia="Arial" w:hAnsi="Arial"/>
          <w:sz w:val="18"/>
          <w:szCs w:val="18"/>
          <w:b w:val="1"/>
          <w:bCs w:val="1"/>
          <w:color w:val="auto"/>
        </w:rPr>
        <w:t>Net client outflows of $5.3 billion</w:t>
      </w:r>
    </w:p>
    <w:p>
      <w:pPr>
        <w:spacing w:after="0" w:line="125" w:lineRule="exact"/>
        <w:rPr>
          <w:rFonts w:ascii="Arial" w:cs="Arial" w:eastAsia="Arial" w:hAnsi="Arial"/>
          <w:sz w:val="22"/>
          <w:szCs w:val="22"/>
          <w:b w:val="1"/>
          <w:bCs w:val="1"/>
          <w:color w:val="40AEFF"/>
        </w:rPr>
      </w:pPr>
    </w:p>
    <w:p>
      <w:pPr>
        <w:ind w:left="660" w:hanging="328"/>
        <w:spacing w:after="0"/>
        <w:tabs>
          <w:tab w:leader="none" w:pos="660" w:val="left"/>
        </w:tabs>
        <w:numPr>
          <w:ilvl w:val="0"/>
          <w:numId w:val="24"/>
        </w:numPr>
        <w:rPr>
          <w:rFonts w:ascii="Arial" w:cs="Arial" w:eastAsia="Arial" w:hAnsi="Arial"/>
          <w:sz w:val="22"/>
          <w:szCs w:val="22"/>
          <w:b w:val="1"/>
          <w:bCs w:val="1"/>
          <w:color w:val="40AEFF"/>
        </w:rPr>
      </w:pPr>
      <w:r>
        <w:rPr>
          <w:rFonts w:ascii="Arial" w:cs="Arial" w:eastAsia="Arial" w:hAnsi="Arial"/>
          <w:sz w:val="18"/>
          <w:szCs w:val="18"/>
          <w:b w:val="1"/>
          <w:bCs w:val="1"/>
          <w:color w:val="auto"/>
        </w:rPr>
        <w:t>Net revenues of $1.9 billion</w:t>
      </w:r>
    </w:p>
    <w:p>
      <w:pPr>
        <w:spacing w:after="0" w:line="125" w:lineRule="exact"/>
        <w:rPr>
          <w:rFonts w:ascii="Arial" w:cs="Arial" w:eastAsia="Arial" w:hAnsi="Arial"/>
          <w:sz w:val="22"/>
          <w:szCs w:val="22"/>
          <w:b w:val="1"/>
          <w:bCs w:val="1"/>
          <w:color w:val="40AEFF"/>
        </w:rPr>
      </w:pPr>
    </w:p>
    <w:p>
      <w:pPr>
        <w:ind w:left="660" w:hanging="328"/>
        <w:spacing w:after="0"/>
        <w:tabs>
          <w:tab w:leader="none" w:pos="660" w:val="left"/>
        </w:tabs>
        <w:numPr>
          <w:ilvl w:val="0"/>
          <w:numId w:val="24"/>
        </w:numPr>
        <w:rPr>
          <w:rFonts w:ascii="Arial" w:cs="Arial" w:eastAsia="Arial" w:hAnsi="Arial"/>
          <w:sz w:val="22"/>
          <w:szCs w:val="22"/>
          <w:b w:val="1"/>
          <w:bCs w:val="1"/>
          <w:color w:val="40AEFF"/>
        </w:rPr>
      </w:pPr>
      <w:r>
        <w:rPr>
          <w:rFonts w:ascii="Arial" w:cs="Arial" w:eastAsia="Arial" w:hAnsi="Arial"/>
          <w:sz w:val="18"/>
          <w:szCs w:val="18"/>
          <w:b w:val="1"/>
          <w:bCs w:val="1"/>
          <w:color w:val="auto"/>
        </w:rPr>
        <w:t>Diluted earnings per common share of $2.41</w:t>
      </w:r>
    </w:p>
    <w:p>
      <w:pPr>
        <w:spacing w:after="0" w:line="125" w:lineRule="exact"/>
        <w:rPr>
          <w:rFonts w:ascii="Arial" w:cs="Arial" w:eastAsia="Arial" w:hAnsi="Arial"/>
          <w:sz w:val="22"/>
          <w:szCs w:val="22"/>
          <w:b w:val="1"/>
          <w:bCs w:val="1"/>
          <w:color w:val="40AEFF"/>
        </w:rPr>
      </w:pPr>
    </w:p>
    <w:p>
      <w:pPr>
        <w:ind w:left="660" w:hanging="328"/>
        <w:spacing w:after="0"/>
        <w:tabs>
          <w:tab w:leader="none" w:pos="660" w:val="left"/>
        </w:tabs>
        <w:numPr>
          <w:ilvl w:val="0"/>
          <w:numId w:val="24"/>
        </w:numPr>
        <w:rPr>
          <w:rFonts w:ascii="Arial" w:cs="Arial" w:eastAsia="Arial" w:hAnsi="Arial"/>
          <w:sz w:val="22"/>
          <w:szCs w:val="22"/>
          <w:b w:val="1"/>
          <w:bCs w:val="1"/>
          <w:color w:val="40AEFF"/>
        </w:rPr>
      </w:pPr>
      <w:r>
        <w:rPr>
          <w:rFonts w:ascii="Arial" w:cs="Arial" w:eastAsia="Arial" w:hAnsi="Arial"/>
          <w:sz w:val="18"/>
          <w:szCs w:val="18"/>
          <w:b w:val="1"/>
          <w:bCs w:val="1"/>
          <w:color w:val="auto"/>
        </w:rPr>
        <w:t>Adjusted non-GAAP diluted earnings per common share of $2.62</w:t>
      </w:r>
    </w:p>
    <w:p>
      <w:pPr>
        <w:spacing w:after="0" w:line="111" w:lineRule="exact"/>
        <w:rPr>
          <w:rFonts w:ascii="Arial" w:cs="Arial" w:eastAsia="Arial" w:hAnsi="Arial"/>
          <w:sz w:val="22"/>
          <w:szCs w:val="22"/>
          <w:b w:val="1"/>
          <w:bCs w:val="1"/>
          <w:color w:val="40AEFF"/>
        </w:rPr>
      </w:pPr>
    </w:p>
    <w:p>
      <w:pPr>
        <w:ind w:left="660" w:hanging="328"/>
        <w:spacing w:after="0"/>
        <w:tabs>
          <w:tab w:leader="none" w:pos="660" w:val="left"/>
        </w:tabs>
        <w:numPr>
          <w:ilvl w:val="0"/>
          <w:numId w:val="24"/>
        </w:numPr>
        <w:rPr>
          <w:rFonts w:ascii="Arial" w:cs="Arial" w:eastAsia="Arial" w:hAnsi="Arial"/>
          <w:sz w:val="22"/>
          <w:szCs w:val="22"/>
          <w:b w:val="1"/>
          <w:bCs w:val="1"/>
          <w:color w:val="40AEFF"/>
        </w:rPr>
      </w:pPr>
      <w:r>
        <w:rPr>
          <w:rFonts w:ascii="Arial" w:cs="Arial" w:eastAsia="Arial" w:hAnsi="Arial"/>
          <w:sz w:val="18"/>
          <w:szCs w:val="18"/>
          <w:b w:val="1"/>
          <w:bCs w:val="1"/>
          <w:color w:val="auto"/>
        </w:rPr>
        <w:t>Solid investment performance over longer time horizons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75"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0" w:type="dxa"/>
            <w:vAlign w:val="bottom"/>
            <w:tcBorders>
              <w:top w:val="single" w:sz="8" w:color="auto"/>
              <w:left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gridSpan w:val="5"/>
            <w:shd w:val="clear" w:color="auto" w:fill="CCEEFF"/>
          </w:tcPr>
          <w:p>
            <w:pPr>
              <w:jc w:val="center"/>
              <w:ind w:right="24"/>
              <w:spacing w:after="0"/>
              <w:rPr>
                <w:sz w:val="20"/>
                <w:szCs w:val="20"/>
                <w:color w:val="auto"/>
              </w:rPr>
            </w:pPr>
            <w:r>
              <w:rPr>
                <w:rFonts w:ascii="Arial" w:cs="Arial" w:eastAsia="Arial" w:hAnsi="Arial"/>
                <w:sz w:val="14"/>
                <w:szCs w:val="14"/>
                <w:color w:val="auto"/>
              </w:rPr>
              <w:t>Three months ended</w:t>
            </w: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right w:val="single" w:sz="8" w:color="auto"/>
            </w:tcBorders>
            <w:shd w:val="clear" w:color="auto" w:fill="CCEEFF"/>
          </w:tcPr>
          <w:p>
            <w:pPr>
              <w:spacing w:after="0"/>
              <w:rPr>
                <w:sz w:val="18"/>
                <w:szCs w:val="18"/>
                <w:color w:val="auto"/>
              </w:rPr>
            </w:pPr>
          </w:p>
        </w:tc>
      </w:tr>
      <w:tr>
        <w:trPr>
          <w:trHeight w:val="192"/>
        </w:trPr>
        <w:tc>
          <w:tcPr>
            <w:tcW w:w="5480" w:type="dxa"/>
            <w:vAlign w:val="bottom"/>
            <w:tcBorders>
              <w:left w:val="single" w:sz="8" w:color="auto"/>
            </w:tcBorders>
            <w:gridSpan w:val="5"/>
          </w:tcPr>
          <w:p>
            <w:pPr>
              <w:ind w:left="40"/>
              <w:spacing w:after="0"/>
              <w:rPr>
                <w:sz w:val="20"/>
                <w:szCs w:val="20"/>
                <w:color w:val="auto"/>
              </w:rPr>
            </w:pPr>
            <w:r>
              <w:rPr>
                <w:rFonts w:ascii="Arial" w:cs="Arial" w:eastAsia="Arial" w:hAnsi="Arial"/>
                <w:sz w:val="14"/>
                <w:szCs w:val="14"/>
                <w:color w:val="auto"/>
              </w:rPr>
              <w:t>(in millions, except per-share data)</w:t>
            </w:r>
          </w:p>
        </w:tc>
        <w:tc>
          <w:tcPr>
            <w:tcW w:w="140" w:type="dxa"/>
            <w:vAlign w:val="bottom"/>
          </w:tcPr>
          <w:p>
            <w:pPr>
              <w:spacing w:after="0"/>
              <w:rPr>
                <w:sz w:val="16"/>
                <w:szCs w:val="16"/>
                <w:color w:val="auto"/>
              </w:rPr>
            </w:pPr>
          </w:p>
        </w:tc>
        <w:tc>
          <w:tcPr>
            <w:tcW w:w="940" w:type="dxa"/>
            <w:vAlign w:val="bottom"/>
          </w:tcPr>
          <w:p>
            <w:pPr>
              <w:jc w:val="right"/>
              <w:ind w:right="84"/>
              <w:spacing w:after="0"/>
              <w:rPr>
                <w:sz w:val="20"/>
                <w:szCs w:val="20"/>
                <w:color w:val="auto"/>
              </w:rPr>
            </w:pPr>
            <w:r>
              <w:rPr>
                <w:rFonts w:ascii="Arial" w:cs="Arial" w:eastAsia="Arial" w:hAnsi="Arial"/>
                <w:sz w:val="14"/>
                <w:szCs w:val="14"/>
                <w:color w:val="auto"/>
              </w:rPr>
              <w:t>3/31/2022</w:t>
            </w:r>
            <w:r>
              <w:rPr>
                <w:rFonts w:ascii="Arial" w:cs="Arial" w:eastAsia="Arial" w:hAnsi="Arial"/>
                <w:sz w:val="9"/>
                <w:szCs w:val="9"/>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84"/>
              <w:spacing w:after="0"/>
              <w:rPr>
                <w:sz w:val="20"/>
                <w:szCs w:val="20"/>
                <w:color w:val="auto"/>
              </w:rPr>
            </w:pPr>
            <w:r>
              <w:rPr>
                <w:rFonts w:ascii="Arial" w:cs="Arial" w:eastAsia="Arial" w:hAnsi="Arial"/>
                <w:sz w:val="14"/>
                <w:szCs w:val="14"/>
                <w:color w:val="auto"/>
              </w:rPr>
              <w:t>3/31/2021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4"/>
                <w:szCs w:val="14"/>
                <w:color w:val="auto"/>
              </w:rPr>
              <w:t>% change</w:t>
            </w:r>
          </w:p>
        </w:tc>
        <w:tc>
          <w:tcPr>
            <w:tcW w:w="140" w:type="dxa"/>
            <w:vAlign w:val="bottom"/>
          </w:tcPr>
          <w:p>
            <w:pPr>
              <w:spacing w:after="0"/>
              <w:rPr>
                <w:sz w:val="16"/>
                <w:szCs w:val="16"/>
                <w:color w:val="auto"/>
              </w:rPr>
            </w:pPr>
          </w:p>
        </w:tc>
        <w:tc>
          <w:tcPr>
            <w:tcW w:w="960" w:type="dxa"/>
            <w:vAlign w:val="bottom"/>
          </w:tcPr>
          <w:p>
            <w:pPr>
              <w:jc w:val="right"/>
              <w:ind w:right="124"/>
              <w:spacing w:after="0"/>
              <w:rPr>
                <w:sz w:val="20"/>
                <w:szCs w:val="20"/>
                <w:color w:val="auto"/>
              </w:rPr>
            </w:pPr>
            <w:r>
              <w:rPr>
                <w:rFonts w:ascii="Arial" w:cs="Arial" w:eastAsia="Arial" w:hAnsi="Arial"/>
                <w:sz w:val="14"/>
                <w:szCs w:val="14"/>
                <w:color w:val="auto"/>
              </w:rPr>
              <w:t>12/31/2021</w:t>
            </w:r>
          </w:p>
        </w:tc>
        <w:tc>
          <w:tcPr>
            <w:tcW w:w="80" w:type="dxa"/>
            <w:vAlign w:val="bottom"/>
          </w:tcPr>
          <w:p>
            <w:pPr>
              <w:spacing w:after="0"/>
              <w:rPr>
                <w:sz w:val="16"/>
                <w:szCs w:val="16"/>
                <w:color w:val="auto"/>
              </w:rPr>
            </w:pPr>
          </w:p>
        </w:tc>
        <w:tc>
          <w:tcPr>
            <w:tcW w:w="1080" w:type="dxa"/>
            <w:vAlign w:val="bottom"/>
            <w:tcBorders>
              <w:right w:val="single" w:sz="8" w:color="auto"/>
            </w:tcBorders>
          </w:tcPr>
          <w:p>
            <w:pPr>
              <w:jc w:val="right"/>
              <w:ind w:right="144"/>
              <w:spacing w:after="0"/>
              <w:rPr>
                <w:sz w:val="20"/>
                <w:szCs w:val="20"/>
                <w:color w:val="auto"/>
              </w:rPr>
            </w:pPr>
            <w:r>
              <w:rPr>
                <w:rFonts w:ascii="Arial" w:cs="Arial" w:eastAsia="Arial" w:hAnsi="Arial"/>
                <w:sz w:val="14"/>
                <w:szCs w:val="14"/>
                <w:color w:val="auto"/>
              </w:rPr>
              <w:t>% change</w:t>
            </w:r>
          </w:p>
        </w:tc>
      </w:tr>
      <w:tr>
        <w:trPr>
          <w:trHeight w:val="92"/>
        </w:trPr>
        <w:tc>
          <w:tcPr>
            <w:tcW w:w="40" w:type="dxa"/>
            <w:vAlign w:val="bottom"/>
            <w:tcBorders>
              <w:top w:val="single" w:sz="8" w:color="CCEEFF"/>
              <w:left w:val="single" w:sz="8" w:color="auto"/>
            </w:tcBorders>
            <w:shd w:val="clear" w:color="auto" w:fill="CCEEFF"/>
          </w:tcPr>
          <w:p>
            <w:pPr>
              <w:spacing w:after="0"/>
              <w:rPr>
                <w:sz w:val="8"/>
                <w:szCs w:val="8"/>
                <w:color w:val="auto"/>
              </w:rPr>
            </w:pPr>
          </w:p>
        </w:tc>
        <w:tc>
          <w:tcPr>
            <w:tcW w:w="122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36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9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8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right w:val="single" w:sz="8" w:color="auto"/>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9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auto"/>
              <w:right w:val="single" w:sz="8" w:color="auto"/>
            </w:tcBorders>
            <w:shd w:val="clear" w:color="auto" w:fill="CCEEFF"/>
          </w:tcPr>
          <w:p>
            <w:pPr>
              <w:spacing w:after="0"/>
              <w:rPr>
                <w:sz w:val="8"/>
                <w:szCs w:val="8"/>
                <w:color w:val="auto"/>
              </w:rPr>
            </w:pPr>
          </w:p>
        </w:tc>
      </w:tr>
      <w:tr>
        <w:trPr>
          <w:trHeight w:val="162"/>
        </w:trPr>
        <w:tc>
          <w:tcPr>
            <w:tcW w:w="5480" w:type="dxa"/>
            <w:vAlign w:val="bottom"/>
            <w:tcBorders>
              <w:left w:val="single" w:sz="8" w:color="auto"/>
            </w:tcBorders>
            <w:gridSpan w:val="5"/>
          </w:tcPr>
          <w:p>
            <w:pPr>
              <w:ind w:left="40"/>
              <w:spacing w:after="0" w:line="162" w:lineRule="exact"/>
              <w:rPr>
                <w:sz w:val="20"/>
                <w:szCs w:val="20"/>
                <w:color w:val="auto"/>
              </w:rPr>
            </w:pPr>
            <w:r>
              <w:rPr>
                <w:rFonts w:ascii="Arial" w:cs="Arial" w:eastAsia="Arial" w:hAnsi="Arial"/>
                <w:sz w:val="15"/>
                <w:szCs w:val="15"/>
                <w:b w:val="1"/>
                <w:bCs w:val="1"/>
                <w:color w:val="auto"/>
              </w:rPr>
              <w:t>U.S. GAAP basis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r>
      <w:tr>
        <w:trPr>
          <w:trHeight w:val="203"/>
        </w:trPr>
        <w:tc>
          <w:tcPr>
            <w:tcW w:w="5480" w:type="dxa"/>
            <w:vAlign w:val="bottom"/>
            <w:tcBorders>
              <w:left w:val="single" w:sz="8" w:color="auto"/>
            </w:tcBorders>
            <w:gridSpan w:val="5"/>
            <w:shd w:val="clear" w:color="auto" w:fill="CCEEFF"/>
          </w:tcPr>
          <w:p>
            <w:pPr>
              <w:ind w:left="40"/>
              <w:spacing w:after="0"/>
              <w:rPr>
                <w:sz w:val="20"/>
                <w:szCs w:val="20"/>
                <w:color w:val="auto"/>
              </w:rPr>
            </w:pPr>
            <w:r>
              <w:rPr>
                <w:rFonts w:ascii="Arial" w:cs="Arial" w:eastAsia="Arial" w:hAnsi="Arial"/>
                <w:sz w:val="14"/>
                <w:szCs w:val="14"/>
                <w:color w:val="auto"/>
              </w:rPr>
              <w:t>Investment advisory fees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1,662.1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1,687.8</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1,809.7</w:t>
            </w:r>
          </w:p>
        </w:tc>
        <w:tc>
          <w:tcPr>
            <w:tcW w:w="80" w:type="dxa"/>
            <w:vAlign w:val="bottom"/>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w:t>
            </w:r>
          </w:p>
        </w:tc>
      </w:tr>
      <w:tr>
        <w:trPr>
          <w:trHeight w:val="201"/>
        </w:trPr>
        <w:tc>
          <w:tcPr>
            <w:tcW w:w="5480" w:type="dxa"/>
            <w:vAlign w:val="bottom"/>
            <w:tcBorders>
              <w:left w:val="single" w:sz="8" w:color="auto"/>
            </w:tcBorders>
            <w:gridSpan w:val="5"/>
          </w:tcPr>
          <w:p>
            <w:pPr>
              <w:ind w:left="40"/>
              <w:spacing w:after="0"/>
              <w:rPr>
                <w:sz w:val="20"/>
                <w:szCs w:val="20"/>
                <w:color w:val="auto"/>
              </w:rPr>
            </w:pPr>
            <w:r>
              <w:rPr>
                <w:rFonts w:ascii="Arial" w:cs="Arial" w:eastAsia="Arial" w:hAnsi="Arial"/>
                <w:sz w:val="14"/>
                <w:szCs w:val="14"/>
                <w:color w:val="auto"/>
              </w:rPr>
              <w:t>Net revenues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1,863.0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1,826.8</w:t>
            </w:r>
          </w:p>
        </w:tc>
        <w:tc>
          <w:tcPr>
            <w:tcW w:w="1220" w:type="dxa"/>
            <w:vAlign w:val="bottom"/>
            <w:gridSpan w:val="3"/>
          </w:tcPr>
          <w:p>
            <w:pPr>
              <w:jc w:val="right"/>
              <w:spacing w:after="0"/>
              <w:rPr>
                <w:sz w:val="20"/>
                <w:szCs w:val="20"/>
                <w:color w:val="auto"/>
              </w:rPr>
            </w:pPr>
            <w:r>
              <w:rPr>
                <w:rFonts w:ascii="Arial" w:cs="Arial" w:eastAsia="Arial" w:hAnsi="Arial"/>
                <w:sz w:val="15"/>
                <w:szCs w:val="15"/>
                <w:color w:val="auto"/>
              </w:rPr>
              <w:t>2.0 %</w:t>
            </w:r>
          </w:p>
        </w:tc>
        <w:tc>
          <w:tcPr>
            <w:tcW w:w="100" w:type="dxa"/>
            <w:vAlign w:val="bottom"/>
            <w:tcBorders>
              <w:right w:val="single" w:sz="8" w:color="auto"/>
            </w:tcBorders>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1,961.7</w:t>
            </w:r>
          </w:p>
        </w:tc>
        <w:tc>
          <w:tcPr>
            <w:tcW w:w="80" w:type="dxa"/>
            <w:vAlign w:val="bottom"/>
          </w:tcPr>
          <w:p>
            <w:pPr>
              <w:spacing w:after="0"/>
              <w:rPr>
                <w:sz w:val="17"/>
                <w:szCs w:val="17"/>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(5.0)%</w:t>
            </w:r>
          </w:p>
        </w:tc>
      </w:tr>
      <w:tr>
        <w:trPr>
          <w:trHeight w:val="204"/>
        </w:trPr>
        <w:tc>
          <w:tcPr>
            <w:tcW w:w="5480" w:type="dxa"/>
            <w:vAlign w:val="bottom"/>
            <w:tcBorders>
              <w:left w:val="single" w:sz="8" w:color="auto"/>
            </w:tcBorders>
            <w:gridSpan w:val="5"/>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985.6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933.6</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5.6 %</w:t>
            </w:r>
          </w:p>
        </w:tc>
        <w:tc>
          <w:tcPr>
            <w:tcW w:w="1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1,099.2</w:t>
            </w:r>
          </w:p>
        </w:tc>
        <w:tc>
          <w:tcPr>
            <w:tcW w:w="80" w:type="dxa"/>
            <w:vAlign w:val="bottom"/>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w:t>
            </w:r>
          </w:p>
        </w:tc>
      </w:tr>
      <w:tr>
        <w:trPr>
          <w:trHeight w:val="201"/>
        </w:trPr>
        <w:tc>
          <w:tcPr>
            <w:tcW w:w="5480" w:type="dxa"/>
            <w:vAlign w:val="bottom"/>
            <w:tcBorders>
              <w:left w:val="single" w:sz="8" w:color="auto"/>
            </w:tcBorders>
            <w:gridSpan w:val="5"/>
          </w:tcPr>
          <w:p>
            <w:pPr>
              <w:ind w:left="40"/>
              <w:spacing w:after="0"/>
              <w:rPr>
                <w:sz w:val="20"/>
                <w:szCs w:val="20"/>
                <w:color w:val="auto"/>
              </w:rPr>
            </w:pPr>
            <w:r>
              <w:rPr>
                <w:rFonts w:ascii="Arial" w:cs="Arial" w:eastAsia="Arial" w:hAnsi="Arial"/>
                <w:sz w:val="14"/>
                <w:szCs w:val="14"/>
                <w:color w:val="auto"/>
              </w:rPr>
              <w:t>Net operating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877.4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893.2</w:t>
            </w:r>
          </w:p>
        </w:tc>
        <w:tc>
          <w:tcPr>
            <w:tcW w:w="1220" w:type="dxa"/>
            <w:vAlign w:val="bottom"/>
            <w:gridSpan w:val="3"/>
          </w:tcPr>
          <w:p>
            <w:pPr>
              <w:jc w:val="right"/>
              <w:spacing w:after="0"/>
              <w:rPr>
                <w:sz w:val="20"/>
                <w:szCs w:val="20"/>
                <w:color w:val="auto"/>
              </w:rPr>
            </w:pPr>
            <w:r>
              <w:rPr>
                <w:rFonts w:ascii="Arial" w:cs="Arial" w:eastAsia="Arial" w:hAnsi="Arial"/>
                <w:sz w:val="15"/>
                <w:szCs w:val="15"/>
                <w:color w:val="auto"/>
              </w:rPr>
              <w:t>(1.8)%</w:t>
            </w:r>
          </w:p>
        </w:tc>
        <w:tc>
          <w:tcPr>
            <w:tcW w:w="100" w:type="dxa"/>
            <w:vAlign w:val="bottom"/>
            <w:tcBorders>
              <w:right w:val="single" w:sz="8" w:color="auto"/>
            </w:tcBorders>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862.5</w:t>
            </w:r>
          </w:p>
        </w:tc>
        <w:tc>
          <w:tcPr>
            <w:tcW w:w="80" w:type="dxa"/>
            <w:vAlign w:val="bottom"/>
          </w:tcPr>
          <w:p>
            <w:pPr>
              <w:spacing w:after="0"/>
              <w:rPr>
                <w:sz w:val="17"/>
                <w:szCs w:val="17"/>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1.7 %</w:t>
            </w:r>
          </w:p>
        </w:tc>
      </w:tr>
      <w:tr>
        <w:trPr>
          <w:trHeight w:val="204"/>
        </w:trPr>
        <w:tc>
          <w:tcPr>
            <w:tcW w:w="5480" w:type="dxa"/>
            <w:vAlign w:val="bottom"/>
            <w:tcBorders>
              <w:left w:val="single" w:sz="8" w:color="auto"/>
            </w:tcBorders>
            <w:gridSpan w:val="5"/>
            <w:shd w:val="clear" w:color="auto" w:fill="CCEEFF"/>
          </w:tcPr>
          <w:p>
            <w:pPr>
              <w:ind w:left="40"/>
              <w:spacing w:after="0"/>
              <w:rPr>
                <w:sz w:val="20"/>
                <w:szCs w:val="20"/>
                <w:color w:val="auto"/>
              </w:rPr>
            </w:pPr>
            <w:r>
              <w:rPr>
                <w:rFonts w:ascii="Arial" w:cs="Arial" w:eastAsia="Arial" w:hAnsi="Arial"/>
                <w:sz w:val="14"/>
                <w:szCs w:val="14"/>
                <w:color w:val="auto"/>
              </w:rPr>
              <w:t>Non-operating income (loss)</w:t>
            </w:r>
            <w:r>
              <w:rPr>
                <w:rFonts w:ascii="Arial" w:cs="Arial" w:eastAsia="Arial" w:hAnsi="Arial"/>
                <w:sz w:val="9"/>
                <w:szCs w:val="9"/>
                <w:color w:val="auto"/>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ind w:left="780"/>
              <w:spacing w:after="0"/>
              <w:rPr>
                <w:sz w:val="20"/>
                <w:szCs w:val="20"/>
                <w:color w:val="auto"/>
              </w:rPr>
            </w:pPr>
            <w:r>
              <w:rPr>
                <w:rFonts w:ascii="Arial" w:cs="Arial" w:eastAsia="Arial" w:hAnsi="Arial"/>
                <w:sz w:val="15"/>
                <w:szCs w:val="15"/>
                <w:color w:val="auto"/>
              </w:rPr>
              <w:t>n/m</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50.1</w:t>
            </w:r>
          </w:p>
        </w:tc>
        <w:tc>
          <w:tcPr>
            <w:tcW w:w="80" w:type="dxa"/>
            <w:vAlign w:val="bottom"/>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n/m</w:t>
            </w:r>
          </w:p>
        </w:tc>
      </w:tr>
      <w:tr>
        <w:trPr>
          <w:trHeight w:val="201"/>
        </w:trPr>
        <w:tc>
          <w:tcPr>
            <w:tcW w:w="5480" w:type="dxa"/>
            <w:vAlign w:val="bottom"/>
            <w:tcBorders>
              <w:left w:val="single" w:sz="8" w:color="auto"/>
            </w:tcBorders>
            <w:gridSpan w:val="5"/>
          </w:tcPr>
          <w:p>
            <w:pPr>
              <w:ind w:left="40"/>
              <w:spacing w:after="0"/>
              <w:rPr>
                <w:sz w:val="20"/>
                <w:szCs w:val="20"/>
                <w:color w:val="auto"/>
              </w:rPr>
            </w:pPr>
            <w:r>
              <w:rPr>
                <w:rFonts w:ascii="Arial" w:cs="Arial" w:eastAsia="Arial" w:hAnsi="Arial"/>
                <w:sz w:val="14"/>
                <w:szCs w:val="14"/>
                <w:color w:val="auto"/>
              </w:rPr>
              <w:t>Net income attributable to T. Rowe Price</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567.9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749.4</w:t>
            </w:r>
          </w:p>
        </w:tc>
        <w:tc>
          <w:tcPr>
            <w:tcW w:w="1220" w:type="dxa"/>
            <w:vAlign w:val="bottom"/>
            <w:gridSpan w:val="3"/>
          </w:tcPr>
          <w:p>
            <w:pPr>
              <w:jc w:val="right"/>
              <w:spacing w:after="0"/>
              <w:rPr>
                <w:sz w:val="20"/>
                <w:szCs w:val="20"/>
                <w:color w:val="auto"/>
              </w:rPr>
            </w:pPr>
            <w:r>
              <w:rPr>
                <w:rFonts w:ascii="Arial" w:cs="Arial" w:eastAsia="Arial" w:hAnsi="Arial"/>
                <w:sz w:val="15"/>
                <w:szCs w:val="15"/>
                <w:color w:val="auto"/>
              </w:rPr>
              <w:t>(24.2)%</w:t>
            </w:r>
          </w:p>
        </w:tc>
        <w:tc>
          <w:tcPr>
            <w:tcW w:w="100" w:type="dxa"/>
            <w:vAlign w:val="bottom"/>
            <w:tcBorders>
              <w:right w:val="single" w:sz="8" w:color="auto"/>
            </w:tcBorders>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740.6</w:t>
            </w:r>
          </w:p>
        </w:tc>
        <w:tc>
          <w:tcPr>
            <w:tcW w:w="80" w:type="dxa"/>
            <w:vAlign w:val="bottom"/>
          </w:tcPr>
          <w:p>
            <w:pPr>
              <w:spacing w:after="0"/>
              <w:rPr>
                <w:sz w:val="17"/>
                <w:szCs w:val="17"/>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(23.3)%</w:t>
            </w:r>
          </w:p>
        </w:tc>
      </w:tr>
      <w:tr>
        <w:trPr>
          <w:trHeight w:val="204"/>
        </w:trPr>
        <w:tc>
          <w:tcPr>
            <w:tcW w:w="5480" w:type="dxa"/>
            <w:vAlign w:val="bottom"/>
            <w:tcBorders>
              <w:left w:val="single" w:sz="8" w:color="auto"/>
            </w:tcBorders>
            <w:gridSpan w:val="5"/>
            <w:shd w:val="clear" w:color="auto" w:fill="CCEEFF"/>
          </w:tcPr>
          <w:p>
            <w:pPr>
              <w:ind w:left="40"/>
              <w:spacing w:after="0"/>
              <w:rPr>
                <w:sz w:val="20"/>
                <w:szCs w:val="20"/>
                <w:color w:val="auto"/>
              </w:rPr>
            </w:pPr>
            <w:r>
              <w:rPr>
                <w:rFonts w:ascii="Arial" w:cs="Arial" w:eastAsia="Arial" w:hAnsi="Arial"/>
                <w:sz w:val="14"/>
                <w:szCs w:val="14"/>
                <w:color w:val="auto"/>
              </w:rPr>
              <w:t>Diluted earnings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3.17</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(24.0)%</w:t>
            </w:r>
          </w:p>
        </w:tc>
        <w:tc>
          <w:tcPr>
            <w:tcW w:w="1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3.18</w:t>
            </w:r>
          </w:p>
        </w:tc>
        <w:tc>
          <w:tcPr>
            <w:tcW w:w="80" w:type="dxa"/>
            <w:vAlign w:val="bottom"/>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(24.2)%</w:t>
            </w:r>
          </w:p>
        </w:tc>
      </w:tr>
      <w:tr>
        <w:trPr>
          <w:trHeight w:val="201"/>
        </w:trPr>
        <w:tc>
          <w:tcPr>
            <w:tcW w:w="5480" w:type="dxa"/>
            <w:vAlign w:val="bottom"/>
            <w:tcBorders>
              <w:left w:val="single" w:sz="8" w:color="auto"/>
            </w:tcBorders>
            <w:gridSpan w:val="5"/>
          </w:tcPr>
          <w:p>
            <w:pPr>
              <w:ind w:left="40"/>
              <w:spacing w:after="0"/>
              <w:rPr>
                <w:sz w:val="20"/>
                <w:szCs w:val="20"/>
                <w:color w:val="auto"/>
              </w:rPr>
            </w:pPr>
            <w:r>
              <w:rPr>
                <w:rFonts w:ascii="Arial" w:cs="Arial" w:eastAsia="Arial" w:hAnsi="Arial"/>
                <w:sz w:val="14"/>
                <w:szCs w:val="14"/>
                <w:color w:val="auto"/>
              </w:rPr>
              <w:t>Weighted average common shares outstanding assuming dilution</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229.8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230.0</w:t>
            </w:r>
          </w:p>
        </w:tc>
        <w:tc>
          <w:tcPr>
            <w:tcW w:w="1220" w:type="dxa"/>
            <w:vAlign w:val="bottom"/>
            <w:gridSpan w:val="3"/>
          </w:tcPr>
          <w:p>
            <w:pPr>
              <w:jc w:val="right"/>
              <w:spacing w:after="0"/>
              <w:rPr>
                <w:sz w:val="20"/>
                <w:szCs w:val="20"/>
                <w:color w:val="auto"/>
              </w:rPr>
            </w:pPr>
            <w:r>
              <w:rPr>
                <w:rFonts w:ascii="Arial" w:cs="Arial" w:eastAsia="Arial" w:hAnsi="Arial"/>
                <w:sz w:val="15"/>
                <w:szCs w:val="15"/>
                <w:color w:val="auto"/>
              </w:rPr>
              <w:t>(.1)%</w:t>
            </w: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226.9</w:t>
            </w:r>
          </w:p>
        </w:tc>
        <w:tc>
          <w:tcPr>
            <w:tcW w:w="80" w:type="dxa"/>
            <w:vAlign w:val="bottom"/>
          </w:tcPr>
          <w:p>
            <w:pPr>
              <w:spacing w:after="0"/>
              <w:rPr>
                <w:sz w:val="17"/>
                <w:szCs w:val="17"/>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1.3 %</w:t>
            </w:r>
          </w:p>
        </w:tc>
      </w:tr>
      <w:tr>
        <w:trPr>
          <w:trHeight w:val="109"/>
        </w:trPr>
        <w:tc>
          <w:tcPr>
            <w:tcW w:w="40" w:type="dxa"/>
            <w:vAlign w:val="bottom"/>
            <w:tcBorders>
              <w:left w:val="single" w:sz="8" w:color="auto"/>
            </w:tcBorders>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tcBorders>
              <w:right w:val="single" w:sz="8" w:color="auto"/>
            </w:tcBorders>
            <w:shd w:val="clear" w:color="auto" w:fill="CCEEFF"/>
          </w:tcPr>
          <w:p>
            <w:pPr>
              <w:spacing w:after="0"/>
              <w:rPr>
                <w:sz w:val="9"/>
                <w:szCs w:val="9"/>
                <w:color w:val="auto"/>
              </w:rPr>
            </w:pPr>
          </w:p>
        </w:tc>
      </w:tr>
      <w:tr>
        <w:trPr>
          <w:trHeight w:val="162"/>
        </w:trPr>
        <w:tc>
          <w:tcPr>
            <w:tcW w:w="5480" w:type="dxa"/>
            <w:vAlign w:val="bottom"/>
            <w:tcBorders>
              <w:left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Adjusted non-GAAP basis</w:t>
            </w:r>
            <w:r>
              <w:rPr>
                <w:rFonts w:ascii="Arial" w:cs="Arial" w:eastAsia="Arial" w:hAnsi="Arial"/>
                <w:sz w:val="9"/>
                <w:szCs w:val="9"/>
                <w:b w:val="1"/>
                <w:bCs w:val="1"/>
                <w:color w:val="auto"/>
              </w:rPr>
              <w:t>(3)</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r>
      <w:tr>
        <w:trPr>
          <w:trHeight w:val="203"/>
        </w:trPr>
        <w:tc>
          <w:tcPr>
            <w:tcW w:w="5480" w:type="dxa"/>
            <w:vAlign w:val="bottom"/>
            <w:tcBorders>
              <w:left w:val="single" w:sz="8" w:color="auto"/>
            </w:tcBorders>
            <w:gridSpan w:val="5"/>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1,039.1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909.2</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14.3 %</w:t>
            </w:r>
          </w:p>
        </w:tc>
        <w:tc>
          <w:tcPr>
            <w:tcW w:w="1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1,042.1</w:t>
            </w:r>
          </w:p>
        </w:tc>
        <w:tc>
          <w:tcPr>
            <w:tcW w:w="80" w:type="dxa"/>
            <w:vAlign w:val="bottom"/>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w:t>
            </w:r>
          </w:p>
        </w:tc>
      </w:tr>
      <w:tr>
        <w:trPr>
          <w:trHeight w:val="201"/>
        </w:trPr>
        <w:tc>
          <w:tcPr>
            <w:tcW w:w="5480" w:type="dxa"/>
            <w:vAlign w:val="bottom"/>
            <w:tcBorders>
              <w:left w:val="single" w:sz="8" w:color="auto"/>
            </w:tcBorders>
            <w:gridSpan w:val="5"/>
          </w:tcPr>
          <w:p>
            <w:pPr>
              <w:ind w:left="40"/>
              <w:spacing w:after="0"/>
              <w:rPr>
                <w:sz w:val="20"/>
                <w:szCs w:val="20"/>
                <w:color w:val="auto"/>
              </w:rPr>
            </w:pPr>
            <w:r>
              <w:rPr>
                <w:rFonts w:ascii="Arial" w:cs="Arial" w:eastAsia="Arial" w:hAnsi="Arial"/>
                <w:sz w:val="14"/>
                <w:szCs w:val="14"/>
                <w:color w:val="auto"/>
              </w:rPr>
              <w:t>Net operating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838.0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918.9</w:t>
            </w:r>
          </w:p>
        </w:tc>
        <w:tc>
          <w:tcPr>
            <w:tcW w:w="1220" w:type="dxa"/>
            <w:vAlign w:val="bottom"/>
            <w:gridSpan w:val="3"/>
          </w:tcPr>
          <w:p>
            <w:pPr>
              <w:jc w:val="right"/>
              <w:spacing w:after="0"/>
              <w:rPr>
                <w:sz w:val="20"/>
                <w:szCs w:val="20"/>
                <w:color w:val="auto"/>
              </w:rPr>
            </w:pPr>
            <w:r>
              <w:rPr>
                <w:rFonts w:ascii="Arial" w:cs="Arial" w:eastAsia="Arial" w:hAnsi="Arial"/>
                <w:sz w:val="15"/>
                <w:szCs w:val="15"/>
                <w:color w:val="auto"/>
              </w:rPr>
              <w:t>(8.8)%</w:t>
            </w:r>
          </w:p>
        </w:tc>
        <w:tc>
          <w:tcPr>
            <w:tcW w:w="100" w:type="dxa"/>
            <w:vAlign w:val="bottom"/>
            <w:tcBorders>
              <w:right w:val="single" w:sz="8" w:color="auto"/>
            </w:tcBorders>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920.9</w:t>
            </w:r>
          </w:p>
        </w:tc>
        <w:tc>
          <w:tcPr>
            <w:tcW w:w="80" w:type="dxa"/>
            <w:vAlign w:val="bottom"/>
          </w:tcPr>
          <w:p>
            <w:pPr>
              <w:spacing w:after="0"/>
              <w:rPr>
                <w:sz w:val="17"/>
                <w:szCs w:val="17"/>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(9.0)%</w:t>
            </w:r>
          </w:p>
        </w:tc>
      </w:tr>
      <w:tr>
        <w:trPr>
          <w:trHeight w:val="204"/>
        </w:trPr>
        <w:tc>
          <w:tcPr>
            <w:tcW w:w="5480" w:type="dxa"/>
            <w:vAlign w:val="bottom"/>
            <w:tcBorders>
              <w:left w:val="single" w:sz="8" w:color="auto"/>
            </w:tcBorders>
            <w:gridSpan w:val="5"/>
            <w:shd w:val="clear" w:color="auto" w:fill="CCEEFF"/>
          </w:tcPr>
          <w:p>
            <w:pPr>
              <w:ind w:left="40"/>
              <w:spacing w:after="0"/>
              <w:rPr>
                <w:sz w:val="20"/>
                <w:szCs w:val="20"/>
                <w:color w:val="auto"/>
              </w:rPr>
            </w:pPr>
            <w:r>
              <w:rPr>
                <w:rFonts w:ascii="Arial" w:cs="Arial" w:eastAsia="Arial" w:hAnsi="Arial"/>
                <w:sz w:val="14"/>
                <w:szCs w:val="14"/>
                <w:color w:val="auto"/>
              </w:rPr>
              <w:t>Non-operating income (loss)</w:t>
            </w:r>
            <w:r>
              <w:rPr>
                <w:rFonts w:ascii="Arial" w:cs="Arial" w:eastAsia="Arial" w:hAnsi="Arial"/>
                <w:sz w:val="9"/>
                <w:szCs w:val="9"/>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ind w:left="780"/>
              <w:spacing w:after="0"/>
              <w:rPr>
                <w:sz w:val="20"/>
                <w:szCs w:val="20"/>
                <w:color w:val="auto"/>
              </w:rPr>
            </w:pPr>
            <w:r>
              <w:rPr>
                <w:rFonts w:ascii="Arial" w:cs="Arial" w:eastAsia="Arial" w:hAnsi="Arial"/>
                <w:sz w:val="15"/>
                <w:szCs w:val="15"/>
                <w:color w:val="auto"/>
              </w:rPr>
              <w:t>n/m</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n/m</w:t>
            </w:r>
          </w:p>
        </w:tc>
      </w:tr>
      <w:tr>
        <w:trPr>
          <w:trHeight w:val="201"/>
        </w:trPr>
        <w:tc>
          <w:tcPr>
            <w:tcW w:w="5480" w:type="dxa"/>
            <w:vAlign w:val="bottom"/>
            <w:tcBorders>
              <w:left w:val="single" w:sz="8" w:color="auto"/>
            </w:tcBorders>
            <w:gridSpan w:val="5"/>
          </w:tcPr>
          <w:p>
            <w:pPr>
              <w:ind w:left="40"/>
              <w:spacing w:after="0"/>
              <w:rPr>
                <w:sz w:val="20"/>
                <w:szCs w:val="20"/>
                <w:color w:val="auto"/>
              </w:rPr>
            </w:pPr>
            <w:r>
              <w:rPr>
                <w:rFonts w:ascii="Arial" w:cs="Arial" w:eastAsia="Arial" w:hAnsi="Arial"/>
                <w:sz w:val="14"/>
                <w:szCs w:val="14"/>
                <w:color w:val="auto"/>
              </w:rPr>
              <w:t>Net income attributable to T. Rowe Price</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616.9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712.0</w:t>
            </w:r>
          </w:p>
        </w:tc>
        <w:tc>
          <w:tcPr>
            <w:tcW w:w="1220" w:type="dxa"/>
            <w:vAlign w:val="bottom"/>
            <w:gridSpan w:val="3"/>
          </w:tcPr>
          <w:p>
            <w:pPr>
              <w:jc w:val="right"/>
              <w:spacing w:after="0"/>
              <w:rPr>
                <w:sz w:val="20"/>
                <w:szCs w:val="20"/>
                <w:color w:val="auto"/>
              </w:rPr>
            </w:pPr>
            <w:r>
              <w:rPr>
                <w:rFonts w:ascii="Arial" w:cs="Arial" w:eastAsia="Arial" w:hAnsi="Arial"/>
                <w:sz w:val="15"/>
                <w:szCs w:val="15"/>
                <w:color w:val="auto"/>
              </w:rPr>
              <w:t>(13.4)%</w:t>
            </w:r>
          </w:p>
        </w:tc>
        <w:tc>
          <w:tcPr>
            <w:tcW w:w="100" w:type="dxa"/>
            <w:vAlign w:val="bottom"/>
            <w:tcBorders>
              <w:right w:val="single" w:sz="8" w:color="auto"/>
            </w:tcBorders>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736.7</w:t>
            </w:r>
          </w:p>
        </w:tc>
        <w:tc>
          <w:tcPr>
            <w:tcW w:w="80" w:type="dxa"/>
            <w:vAlign w:val="bottom"/>
          </w:tcPr>
          <w:p>
            <w:pPr>
              <w:spacing w:after="0"/>
              <w:rPr>
                <w:sz w:val="17"/>
                <w:szCs w:val="17"/>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(16.3)%</w:t>
            </w:r>
          </w:p>
        </w:tc>
      </w:tr>
      <w:tr>
        <w:trPr>
          <w:trHeight w:val="204"/>
        </w:trPr>
        <w:tc>
          <w:tcPr>
            <w:tcW w:w="5480" w:type="dxa"/>
            <w:vAlign w:val="bottom"/>
            <w:tcBorders>
              <w:left w:val="single" w:sz="8" w:color="auto"/>
            </w:tcBorders>
            <w:gridSpan w:val="5"/>
            <w:shd w:val="clear" w:color="auto" w:fill="CCEEFF"/>
          </w:tcPr>
          <w:p>
            <w:pPr>
              <w:ind w:left="40"/>
              <w:spacing w:after="0"/>
              <w:rPr>
                <w:sz w:val="20"/>
                <w:szCs w:val="20"/>
                <w:color w:val="auto"/>
              </w:rPr>
            </w:pPr>
            <w:r>
              <w:rPr>
                <w:rFonts w:ascii="Arial" w:cs="Arial" w:eastAsia="Arial" w:hAnsi="Arial"/>
                <w:sz w:val="14"/>
                <w:szCs w:val="14"/>
                <w:color w:val="auto"/>
              </w:rPr>
              <w:t>Diluted earnings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3.01</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(13.0)%</w:t>
            </w:r>
          </w:p>
        </w:tc>
        <w:tc>
          <w:tcPr>
            <w:tcW w:w="1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3.17</w:t>
            </w:r>
          </w:p>
        </w:tc>
        <w:tc>
          <w:tcPr>
            <w:tcW w:w="80" w:type="dxa"/>
            <w:vAlign w:val="bottom"/>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(17.4)%</w:t>
            </w:r>
          </w:p>
        </w:tc>
      </w:tr>
      <w:tr>
        <w:trPr>
          <w:trHeight w:val="108"/>
        </w:trPr>
        <w:tc>
          <w:tcPr>
            <w:tcW w:w="40" w:type="dxa"/>
            <w:vAlign w:val="bottom"/>
            <w:tcBorders>
              <w:left w:val="single" w:sz="8" w:color="auto"/>
            </w:tcBorders>
          </w:tcPr>
          <w:p>
            <w:pPr>
              <w:spacing w:after="0"/>
              <w:rPr>
                <w:sz w:val="9"/>
                <w:szCs w:val="9"/>
                <w:color w:val="auto"/>
              </w:rPr>
            </w:pPr>
          </w:p>
        </w:tc>
        <w:tc>
          <w:tcPr>
            <w:tcW w:w="1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r>
      <w:tr>
        <w:trPr>
          <w:trHeight w:val="162"/>
        </w:trPr>
        <w:tc>
          <w:tcPr>
            <w:tcW w:w="5480" w:type="dxa"/>
            <w:vAlign w:val="bottom"/>
            <w:tcBorders>
              <w:left w:val="single" w:sz="8" w:color="auto"/>
            </w:tcBorders>
            <w:gridSpan w:val="5"/>
            <w:shd w:val="clear" w:color="auto" w:fill="CCEEFF"/>
          </w:tcPr>
          <w:p>
            <w:pPr>
              <w:ind w:left="40"/>
              <w:spacing w:after="0"/>
              <w:rPr>
                <w:sz w:val="20"/>
                <w:szCs w:val="20"/>
                <w:color w:val="auto"/>
              </w:rPr>
            </w:pPr>
            <w:r>
              <w:rPr>
                <w:rFonts w:ascii="Arial" w:cs="Arial" w:eastAsia="Arial" w:hAnsi="Arial"/>
                <w:sz w:val="14"/>
                <w:szCs w:val="14"/>
                <w:b w:val="1"/>
                <w:bCs w:val="1"/>
                <w:color w:val="auto"/>
              </w:rPr>
              <w:t xml:space="preserve">Assets under Management </w:t>
            </w:r>
            <w:r>
              <w:rPr>
                <w:rFonts w:ascii="Arial" w:cs="Arial" w:eastAsia="Arial" w:hAnsi="Arial"/>
                <w:sz w:val="14"/>
                <w:szCs w:val="14"/>
                <w:color w:val="auto"/>
              </w:rPr>
              <w:t>(in billions)</w:t>
            </w: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tcBorders>
              <w:right w:val="single" w:sz="8" w:color="auto"/>
            </w:tcBorders>
            <w:shd w:val="clear" w:color="auto" w:fill="CCEEFF"/>
          </w:tcPr>
          <w:p>
            <w:pPr>
              <w:spacing w:after="0"/>
              <w:rPr>
                <w:sz w:val="14"/>
                <w:szCs w:val="14"/>
                <w:color w:val="auto"/>
              </w:rPr>
            </w:pPr>
          </w:p>
        </w:tc>
      </w:tr>
      <w:tr>
        <w:trPr>
          <w:trHeight w:val="20"/>
        </w:trPr>
        <w:tc>
          <w:tcPr>
            <w:tcW w:w="4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right w:val="single" w:sz="8" w:color="auto"/>
            </w:tcBorders>
            <w:shd w:val="clear" w:color="auto" w:fill="CCEEFF"/>
          </w:tcPr>
          <w:p>
            <w:pPr>
              <w:spacing w:after="0" w:line="20" w:lineRule="exact"/>
              <w:rPr>
                <w:sz w:val="1"/>
                <w:szCs w:val="1"/>
                <w:color w:val="auto"/>
              </w:rPr>
            </w:pPr>
          </w:p>
        </w:tc>
      </w:tr>
      <w:tr>
        <w:trPr>
          <w:trHeight w:val="201"/>
        </w:trPr>
        <w:tc>
          <w:tcPr>
            <w:tcW w:w="5480" w:type="dxa"/>
            <w:vAlign w:val="bottom"/>
            <w:tcBorders>
              <w:left w:val="single" w:sz="8" w:color="auto"/>
            </w:tcBorders>
            <w:gridSpan w:val="5"/>
          </w:tcPr>
          <w:p>
            <w:pPr>
              <w:ind w:left="40"/>
              <w:spacing w:after="0"/>
              <w:rPr>
                <w:sz w:val="20"/>
                <w:szCs w:val="20"/>
                <w:color w:val="auto"/>
              </w:rPr>
            </w:pPr>
            <w:r>
              <w:rPr>
                <w:rFonts w:ascii="Arial" w:cs="Arial" w:eastAsia="Arial" w:hAnsi="Arial"/>
                <w:sz w:val="14"/>
                <w:szCs w:val="14"/>
                <w:color w:val="auto"/>
              </w:rPr>
              <w:t>Average assets under management</w:t>
            </w:r>
            <w:r>
              <w:rPr>
                <w:rFonts w:ascii="Arial" w:cs="Arial" w:eastAsia="Arial" w:hAnsi="Arial"/>
                <w:sz w:val="9"/>
                <w:szCs w:val="9"/>
                <w:color w:val="auto"/>
              </w:rPr>
              <w:t>(4)</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1,559.9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1,508.8</w:t>
            </w:r>
          </w:p>
        </w:tc>
        <w:tc>
          <w:tcPr>
            <w:tcW w:w="1220" w:type="dxa"/>
            <w:vAlign w:val="bottom"/>
            <w:gridSpan w:val="3"/>
          </w:tcPr>
          <w:p>
            <w:pPr>
              <w:jc w:val="right"/>
              <w:spacing w:after="0"/>
              <w:rPr>
                <w:sz w:val="20"/>
                <w:szCs w:val="20"/>
                <w:color w:val="auto"/>
              </w:rPr>
            </w:pPr>
            <w:r>
              <w:rPr>
                <w:rFonts w:ascii="Arial" w:cs="Arial" w:eastAsia="Arial" w:hAnsi="Arial"/>
                <w:sz w:val="15"/>
                <w:szCs w:val="15"/>
                <w:color w:val="auto"/>
              </w:rPr>
              <w:t>3.4 %</w:t>
            </w:r>
          </w:p>
        </w:tc>
        <w:tc>
          <w:tcPr>
            <w:tcW w:w="100" w:type="dxa"/>
            <w:vAlign w:val="bottom"/>
            <w:tcBorders>
              <w:right w:val="single" w:sz="8" w:color="auto"/>
            </w:tcBorders>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1,652.8</w:t>
            </w:r>
          </w:p>
        </w:tc>
        <w:tc>
          <w:tcPr>
            <w:tcW w:w="80" w:type="dxa"/>
            <w:vAlign w:val="bottom"/>
          </w:tcPr>
          <w:p>
            <w:pPr>
              <w:spacing w:after="0"/>
              <w:rPr>
                <w:sz w:val="17"/>
                <w:szCs w:val="17"/>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(5.6)%</w:t>
            </w:r>
          </w:p>
        </w:tc>
      </w:tr>
      <w:tr>
        <w:trPr>
          <w:trHeight w:val="203"/>
        </w:trPr>
        <w:tc>
          <w:tcPr>
            <w:tcW w:w="5480" w:type="dxa"/>
            <w:vAlign w:val="bottom"/>
            <w:tcBorders>
              <w:left w:val="single" w:sz="8" w:color="auto"/>
              <w:bottom w:val="single" w:sz="8" w:color="auto"/>
            </w:tcBorders>
            <w:gridSpan w:val="5"/>
            <w:shd w:val="clear" w:color="auto" w:fill="CCEEFF"/>
          </w:tcPr>
          <w:p>
            <w:pPr>
              <w:ind w:left="40"/>
              <w:spacing w:after="0"/>
              <w:rPr>
                <w:sz w:val="20"/>
                <w:szCs w:val="20"/>
                <w:color w:val="auto"/>
              </w:rPr>
            </w:pPr>
            <w:r>
              <w:rPr>
                <w:rFonts w:ascii="Arial" w:cs="Arial" w:eastAsia="Arial" w:hAnsi="Arial"/>
                <w:sz w:val="14"/>
                <w:szCs w:val="14"/>
                <w:color w:val="auto"/>
              </w:rPr>
              <w:t>Ending assets under management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1,551.8</w:t>
            </w: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1,518.0</w:t>
            </w:r>
          </w:p>
        </w:tc>
        <w:tc>
          <w:tcPr>
            <w:tcW w:w="12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2.2 %</w:t>
            </w:r>
          </w:p>
        </w:tc>
        <w:tc>
          <w:tcPr>
            <w:tcW w:w="100" w:type="dxa"/>
            <w:vAlign w:val="bottom"/>
            <w:tcBorders>
              <w:bottom w:val="single" w:sz="8" w:color="auto"/>
              <w:right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1,687.8</w:t>
            </w:r>
          </w:p>
        </w:tc>
        <w:tc>
          <w:tcPr>
            <w:tcW w:w="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w:t>
            </w:r>
          </w:p>
        </w:tc>
      </w:tr>
    </w:tbl>
    <w:p>
      <w:pPr>
        <w:spacing w:after="0" w:line="53" w:lineRule="exact"/>
        <w:rPr>
          <w:sz w:val="20"/>
          <w:szCs w:val="20"/>
          <w:color w:val="auto"/>
        </w:rPr>
      </w:pPr>
    </w:p>
    <w:p>
      <w:pPr>
        <w:ind w:left="140" w:hanging="132"/>
        <w:spacing w:after="0"/>
        <w:tabs>
          <w:tab w:leader="none" w:pos="140" w:val="left"/>
        </w:tabs>
        <w:numPr>
          <w:ilvl w:val="0"/>
          <w:numId w:val="25"/>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firm's Q1 2022 operating results include the results of OHA following their acquisition on December 29, 2021.</w:t>
      </w:r>
    </w:p>
    <w:p>
      <w:pPr>
        <w:ind w:left="140" w:hanging="132"/>
        <w:spacing w:after="0" w:line="193" w:lineRule="auto"/>
        <w:tabs>
          <w:tab w:leader="none" w:pos="140" w:val="left"/>
        </w:tabs>
        <w:numPr>
          <w:ilvl w:val="0"/>
          <w:numId w:val="25"/>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percentage change in non-operating income is not meaningful (n/m).</w:t>
      </w:r>
    </w:p>
    <w:p>
      <w:pPr>
        <w:ind w:left="140" w:hanging="132"/>
        <w:spacing w:after="0" w:line="214" w:lineRule="auto"/>
        <w:tabs>
          <w:tab w:leader="none" w:pos="140" w:val="left"/>
        </w:tabs>
        <w:numPr>
          <w:ilvl w:val="0"/>
          <w:numId w:val="25"/>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Adjusts the GAAP basis for the impact of consolidated T. Rowe Price investment products, the impact of market movements on the supplemental savings plan liability and related economic hedges,</w:t>
      </w:r>
    </w:p>
    <w:p>
      <w:pPr>
        <w:spacing w:after="0" w:line="8" w:lineRule="exact"/>
        <w:rPr>
          <w:sz w:val="20"/>
          <w:szCs w:val="20"/>
          <w:color w:val="auto"/>
        </w:rPr>
      </w:pPr>
    </w:p>
    <w:p>
      <w:pPr>
        <w:ind w:left="180" w:right="120"/>
        <w:spacing w:after="0" w:line="257" w:lineRule="auto"/>
        <w:rPr>
          <w:sz w:val="20"/>
          <w:szCs w:val="20"/>
          <w:color w:val="auto"/>
        </w:rPr>
      </w:pPr>
      <w:r>
        <w:rPr>
          <w:rFonts w:ascii="Arial" w:cs="Arial" w:eastAsia="Arial" w:hAnsi="Arial"/>
          <w:sz w:val="12"/>
          <w:szCs w:val="12"/>
          <w:i w:val="1"/>
          <w:iCs w:val="1"/>
          <w:color w:val="auto"/>
        </w:rPr>
        <w:t>investment income related to certain other investments, certain nonrecurring charges and gains, and acquisition-related amortization and costs, if any. The firm believes the non-GAAP financial measures provide relevant and meaningful information to investors about its core operating results.See the reconciliation to the comparable U.S. GAAP measures at the end of this earnings release.</w:t>
      </w:r>
    </w:p>
    <w:p>
      <w:pPr>
        <w:spacing w:after="0" w:line="1" w:lineRule="exact"/>
        <w:rPr>
          <w:sz w:val="20"/>
          <w:szCs w:val="20"/>
          <w:color w:val="auto"/>
        </w:rPr>
      </w:pPr>
    </w:p>
    <w:p>
      <w:pPr>
        <w:ind w:left="180" w:right="80" w:hanging="172"/>
        <w:spacing w:after="0" w:line="218" w:lineRule="auto"/>
        <w:tabs>
          <w:tab w:leader="none" w:pos="153" w:val="left"/>
        </w:tabs>
        <w:numPr>
          <w:ilvl w:val="0"/>
          <w:numId w:val="26"/>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Average assets under management for the 2021 periods and ending assets under management for 3/31/2021 do not include the impact of the acquired fee-basis assets under management related to the OHA acquisition that closed on December 29, 2021.</w:t>
      </w: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320" w:top="1440" w:right="31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Management Commentary</w:t>
      </w:r>
    </w:p>
    <w:p>
      <w:pPr>
        <w:spacing w:after="0" w:line="77" w:lineRule="exact"/>
        <w:rPr>
          <w:sz w:val="20"/>
          <w:szCs w:val="20"/>
          <w:color w:val="auto"/>
        </w:rPr>
      </w:pPr>
    </w:p>
    <w:p>
      <w:pPr>
        <w:spacing w:after="0" w:line="329" w:lineRule="auto"/>
        <w:rPr>
          <w:sz w:val="20"/>
          <w:szCs w:val="20"/>
          <w:color w:val="auto"/>
        </w:rPr>
      </w:pPr>
      <w:r>
        <w:rPr>
          <w:rFonts w:ascii="Arial" w:cs="Arial" w:eastAsia="Arial" w:hAnsi="Arial"/>
          <w:sz w:val="18"/>
          <w:szCs w:val="18"/>
          <w:color w:val="auto"/>
        </w:rPr>
        <w:t>Rob Sharps, chief executive officer and president, commented, “The S&amp;P 500 Index suffered its worst quarterly loss since the start of the pandemic, while the Bloomberg U.S. Aggregate Bond Index recorded its steepest decline since late 1980. The major global developed market equity indexes fell more than 10% from recent highs, but a March rally pulled the broad S&amp;P 500 Index, Dow Jones Industrial Average, and S&amp;P MidCap 400 Index out of correction territory. Fears that the Fed was 'behind the curve' and would have to act aggressively to curb inflation weighed heavily on sentiment throughout the quarter. Investors also worried about the spread of the omicron variant of the coronavirus. Unfortunately, just as omicron cases eased, Russia’s invasion of Ukraine and the resulting sanctions introduced new threats to global economic growth and added to inflationary pressures.</w:t>
      </w:r>
    </w:p>
    <w:p>
      <w:pPr>
        <w:spacing w:after="0" w:line="201" w:lineRule="exact"/>
        <w:rPr>
          <w:sz w:val="20"/>
          <w:szCs w:val="20"/>
          <w:color w:val="auto"/>
        </w:rPr>
      </w:pPr>
    </w:p>
    <w:p>
      <w:pPr>
        <w:ind w:right="40"/>
        <w:spacing w:after="0" w:line="331" w:lineRule="auto"/>
        <w:rPr>
          <w:sz w:val="20"/>
          <w:szCs w:val="20"/>
          <w:color w:val="auto"/>
        </w:rPr>
      </w:pPr>
      <w:r>
        <w:rPr>
          <w:rFonts w:ascii="Arial" w:cs="Arial" w:eastAsia="Arial" w:hAnsi="Arial"/>
          <w:sz w:val="18"/>
          <w:szCs w:val="18"/>
          <w:color w:val="auto"/>
        </w:rPr>
        <w:t>“Against the backdrop of these volatile markets, net revenues were $1.9 billion, up 2.0% from Q1 2021. Diluted GAAP EPS was $2.41, and diluted non-GAAP EPS was $2.62. Our strong financial position allowed us to raise our quarterly dividend by 11% and repurchase 2.1 million shares during the first quarter. Our quarterly dividend has increased every year since our IPO in 1986.</w:t>
      </w:r>
    </w:p>
    <w:p>
      <w:pPr>
        <w:spacing w:after="0" w:line="197" w:lineRule="exact"/>
        <w:rPr>
          <w:sz w:val="20"/>
          <w:szCs w:val="20"/>
          <w:color w:val="auto"/>
        </w:rPr>
      </w:pPr>
    </w:p>
    <w:p>
      <w:pPr>
        <w:ind w:right="140"/>
        <w:spacing w:after="0" w:line="379" w:lineRule="auto"/>
        <w:rPr>
          <w:sz w:val="20"/>
          <w:szCs w:val="20"/>
          <w:color w:val="auto"/>
        </w:rPr>
      </w:pPr>
      <w:r>
        <w:rPr>
          <w:rFonts w:ascii="Arial" w:cs="Arial" w:eastAsia="Arial" w:hAnsi="Arial"/>
          <w:sz w:val="17"/>
          <w:szCs w:val="17"/>
          <w:color w:val="131313"/>
        </w:rPr>
        <w:t xml:space="preserve">“Although recent performance for some investment strategies is below our high standards, we are confident that our disciplined approach and our talented investment professionals leveraging deep and insightful research </w:t>
      </w:r>
      <w:r>
        <w:rPr>
          <w:rFonts w:ascii="Arial" w:cs="Arial" w:eastAsia="Arial" w:hAnsi="Arial"/>
          <w:sz w:val="17"/>
          <w:szCs w:val="17"/>
          <w:color w:val="000000"/>
        </w:rPr>
        <w:t>will deliver superior risk-adjusted performance over time</w:t>
      </w:r>
      <w:r>
        <w:rPr>
          <w:rFonts w:ascii="Arial" w:cs="Arial" w:eastAsia="Arial" w:hAnsi="Arial"/>
          <w:sz w:val="20"/>
          <w:szCs w:val="20"/>
          <w:color w:val="000000"/>
        </w:rPr>
        <w:t>.</w:t>
      </w:r>
    </w:p>
    <w:p>
      <w:pPr>
        <w:spacing w:after="0" w:line="165" w:lineRule="exact"/>
        <w:rPr>
          <w:sz w:val="20"/>
          <w:szCs w:val="20"/>
          <w:color w:val="auto"/>
        </w:rPr>
      </w:pPr>
    </w:p>
    <w:p>
      <w:pPr>
        <w:ind w:right="160"/>
        <w:spacing w:after="0" w:line="346" w:lineRule="auto"/>
        <w:rPr>
          <w:sz w:val="20"/>
          <w:szCs w:val="20"/>
          <w:color w:val="auto"/>
        </w:rPr>
      </w:pPr>
      <w:r>
        <w:rPr>
          <w:rFonts w:ascii="Arial" w:cs="Arial" w:eastAsia="Arial" w:hAnsi="Arial"/>
          <w:sz w:val="18"/>
          <w:szCs w:val="18"/>
          <w:color w:val="auto"/>
        </w:rPr>
        <w:t>“Inflows of $6.7 billion to multi-asset, $5.3 billion to fixed income, and $0.8 billion to alternative products only partially offset the $18.1 billion of outflows from our equity strategies, resulting in net outflows of $5.3 billion for the quarter. Equity redemptions were concentrated in U.S. large-cap and global equity products as we continue to see adverse flow trends — particularly on our large book of growth-oriented strategies.</w:t>
      </w:r>
    </w:p>
    <w:p>
      <w:pPr>
        <w:spacing w:after="0" w:line="183" w:lineRule="exact"/>
        <w:rPr>
          <w:sz w:val="20"/>
          <w:szCs w:val="20"/>
          <w:color w:val="auto"/>
        </w:rPr>
      </w:pPr>
    </w:p>
    <w:p>
      <w:pPr>
        <w:ind w:right="480"/>
        <w:spacing w:after="0" w:line="350" w:lineRule="auto"/>
        <w:rPr>
          <w:sz w:val="20"/>
          <w:szCs w:val="20"/>
          <w:color w:val="auto"/>
        </w:rPr>
      </w:pPr>
      <w:r>
        <w:rPr>
          <w:rFonts w:ascii="Arial" w:cs="Arial" w:eastAsia="Arial" w:hAnsi="Arial"/>
          <w:sz w:val="18"/>
          <w:szCs w:val="18"/>
          <w:color w:val="auto"/>
        </w:rPr>
        <w:t>“We remain focused on our priorities, including expanding our investment capabilities, broadening our distribution reach, supporting our associates, and delivering attractive returns for our stockholders over the long term. Highlights from Q1 include:</w:t>
      </w:r>
    </w:p>
    <w:p>
      <w:pPr>
        <w:spacing w:after="0" w:line="220" w:lineRule="exact"/>
        <w:rPr>
          <w:sz w:val="20"/>
          <w:szCs w:val="20"/>
          <w:color w:val="auto"/>
        </w:rPr>
      </w:pPr>
    </w:p>
    <w:p>
      <w:pPr>
        <w:ind w:left="660" w:right="340" w:hanging="328"/>
        <w:spacing w:after="0" w:line="291" w:lineRule="auto"/>
        <w:tabs>
          <w:tab w:leader="none" w:pos="655" w:val="left"/>
        </w:tabs>
        <w:numPr>
          <w:ilvl w:val="0"/>
          <w:numId w:val="27"/>
        </w:numPr>
        <w:rPr>
          <w:rFonts w:ascii="Arial" w:cs="Arial" w:eastAsia="Arial" w:hAnsi="Arial"/>
          <w:sz w:val="22"/>
          <w:szCs w:val="22"/>
          <w:color w:val="auto"/>
        </w:rPr>
      </w:pPr>
      <w:r>
        <w:rPr>
          <w:rFonts w:ascii="Arial" w:cs="Arial" w:eastAsia="Arial" w:hAnsi="Arial"/>
          <w:sz w:val="18"/>
          <w:szCs w:val="18"/>
          <w:color w:val="auto"/>
        </w:rPr>
        <w:t>We were honored to be named Refinitiv Lipper’s 2022 Best Overall Large U.S. Fund Management Group. The award recognizes above-average risk-adjusted performance across bond, equity, and mixed-asset product lineups combined.</w:t>
      </w:r>
    </w:p>
    <w:p>
      <w:pPr>
        <w:spacing w:after="0" w:line="36" w:lineRule="exact"/>
        <w:rPr>
          <w:rFonts w:ascii="Arial" w:cs="Arial" w:eastAsia="Arial" w:hAnsi="Arial"/>
          <w:sz w:val="22"/>
          <w:szCs w:val="22"/>
          <w:color w:val="auto"/>
        </w:rPr>
      </w:pPr>
    </w:p>
    <w:p>
      <w:pPr>
        <w:ind w:left="660" w:right="100" w:hanging="328"/>
        <w:spacing w:after="0" w:line="291" w:lineRule="auto"/>
        <w:tabs>
          <w:tab w:leader="none" w:pos="655" w:val="left"/>
        </w:tabs>
        <w:numPr>
          <w:ilvl w:val="0"/>
          <w:numId w:val="27"/>
        </w:numPr>
        <w:rPr>
          <w:rFonts w:ascii="Arial" w:cs="Arial" w:eastAsia="Arial" w:hAnsi="Arial"/>
          <w:sz w:val="22"/>
          <w:szCs w:val="22"/>
          <w:color w:val="auto"/>
        </w:rPr>
      </w:pPr>
      <w:r>
        <w:rPr>
          <w:rFonts w:ascii="Arial" w:cs="Arial" w:eastAsia="Arial" w:hAnsi="Arial"/>
          <w:sz w:val="18"/>
          <w:szCs w:val="18"/>
          <w:color w:val="auto"/>
        </w:rPr>
        <w:t>We broke ground on the construction of our new global headquarters in Baltimore’s Harbor Point. Set to open in 2024, the design of the new buildings will support our collaborative culture with a strong commitment to environmental sustainability.</w:t>
      </w:r>
    </w:p>
    <w:p>
      <w:pPr>
        <w:spacing w:after="0" w:line="36" w:lineRule="exact"/>
        <w:rPr>
          <w:rFonts w:ascii="Arial" w:cs="Arial" w:eastAsia="Arial" w:hAnsi="Arial"/>
          <w:sz w:val="22"/>
          <w:szCs w:val="22"/>
          <w:color w:val="auto"/>
        </w:rPr>
      </w:pPr>
    </w:p>
    <w:p>
      <w:pPr>
        <w:ind w:left="660" w:right="260" w:hanging="328"/>
        <w:spacing w:after="0" w:line="291" w:lineRule="auto"/>
        <w:tabs>
          <w:tab w:leader="none" w:pos="655" w:val="left"/>
        </w:tabs>
        <w:numPr>
          <w:ilvl w:val="0"/>
          <w:numId w:val="27"/>
        </w:numPr>
        <w:rPr>
          <w:rFonts w:ascii="Arial" w:cs="Arial" w:eastAsia="Arial" w:hAnsi="Arial"/>
          <w:sz w:val="22"/>
          <w:szCs w:val="22"/>
          <w:color w:val="auto"/>
        </w:rPr>
      </w:pPr>
      <w:r>
        <w:rPr>
          <w:rFonts w:ascii="Arial" w:cs="Arial" w:eastAsia="Arial" w:hAnsi="Arial"/>
          <w:sz w:val="18"/>
          <w:szCs w:val="18"/>
          <w:color w:val="auto"/>
        </w:rPr>
        <w:t>For the sixth consecutive year, we received a score of 100 on the Human Rights Campaign Foundation’s 2022 Corporate Equality Index, an annual assessment of LGBTQ+ workplace equity.</w:t>
      </w:r>
    </w:p>
    <w:p>
      <w:pPr>
        <w:spacing w:after="0" w:line="36"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Arial" w:cs="Arial" w:eastAsia="Arial" w:hAnsi="Arial"/>
          <w:sz w:val="18"/>
          <w:szCs w:val="18"/>
          <w:color w:val="auto"/>
        </w:rPr>
        <w:t>We were pleased to again be ranked 14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on Barron’s annual list of the 100 Most Sustainable Companies in the U.S.</w:t>
      </w:r>
    </w:p>
    <w:p>
      <w:pPr>
        <w:spacing w:after="0" w:line="59" w:lineRule="exact"/>
        <w:rPr>
          <w:rFonts w:ascii="Arial" w:cs="Arial" w:eastAsia="Arial" w:hAnsi="Arial"/>
          <w:sz w:val="22"/>
          <w:szCs w:val="22"/>
          <w:color w:val="auto"/>
        </w:rPr>
      </w:pPr>
    </w:p>
    <w:p>
      <w:pPr>
        <w:ind w:left="660" w:hanging="328"/>
        <w:spacing w:after="0" w:line="355" w:lineRule="auto"/>
        <w:tabs>
          <w:tab w:leader="none" w:pos="655" w:val="left"/>
        </w:tabs>
        <w:numPr>
          <w:ilvl w:val="0"/>
          <w:numId w:val="27"/>
        </w:numPr>
        <w:rPr>
          <w:rFonts w:ascii="Arial" w:cs="Arial" w:eastAsia="Arial" w:hAnsi="Arial"/>
          <w:sz w:val="21"/>
          <w:szCs w:val="21"/>
          <w:color w:val="auto"/>
        </w:rPr>
      </w:pPr>
      <w:r>
        <w:rPr>
          <w:rFonts w:ascii="Arial" w:cs="Arial" w:eastAsia="Arial" w:hAnsi="Arial"/>
          <w:sz w:val="17"/>
          <w:szCs w:val="17"/>
          <w:color w:val="auto"/>
        </w:rPr>
        <w:t>We worked with our new partners from Oak Hill Advisors (OHA) to deliver for existing clients and begin laying the foundation to reach new ones. Our distribution teams established a thoughtful operating model to offer clients seamless service, and we made good</w:t>
      </w:r>
    </w:p>
    <w:p>
      <w:pPr>
        <w:spacing w:after="0" w:line="1" w:lineRule="exact"/>
        <w:rPr>
          <w:rFonts w:ascii="Arial" w:cs="Arial" w:eastAsia="Arial" w:hAnsi="Arial"/>
          <w:sz w:val="21"/>
          <w:szCs w:val="21"/>
          <w:color w:val="auto"/>
        </w:rPr>
      </w:pPr>
    </w:p>
    <w:p>
      <w:pPr>
        <w:ind w:left="660" w:right="120"/>
        <w:spacing w:after="0" w:line="401" w:lineRule="auto"/>
        <w:rPr>
          <w:rFonts w:ascii="Arial" w:cs="Arial" w:eastAsia="Arial" w:hAnsi="Arial"/>
          <w:sz w:val="21"/>
          <w:szCs w:val="21"/>
          <w:color w:val="auto"/>
        </w:rPr>
      </w:pPr>
      <w:r>
        <w:rPr>
          <w:rFonts w:ascii="Arial" w:cs="Arial" w:eastAsia="Arial" w:hAnsi="Arial"/>
          <w:sz w:val="17"/>
          <w:szCs w:val="17"/>
          <w:color w:val="auto"/>
        </w:rPr>
        <w:t>progress on aligning key legal and financial processes. We also began work on the opportunity to leverage the best of both organizations to bring excellent private credit investment expertise to the broader market, and we are excited about the path ahead.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066" w:right="359" w:bottom="1440" w:gutter="0" w:footer="0" w:header="0"/>
        </w:sectPr>
      </w:pPr>
    </w:p>
    <w:bookmarkStart w:id="45" w:name="page46"/>
    <w:bookmarkEnd w:id="45"/>
    <w:p>
      <w:pPr>
        <w:ind w:right="100"/>
        <w:spacing w:after="0" w:line="317" w:lineRule="auto"/>
        <w:rPr>
          <w:sz w:val="20"/>
          <w:szCs w:val="20"/>
          <w:color w:val="auto"/>
        </w:rPr>
      </w:pPr>
      <w:r>
        <w:rPr>
          <w:rFonts w:ascii="Arial" w:cs="Arial" w:eastAsia="Arial" w:hAnsi="Arial"/>
          <w:sz w:val="18"/>
          <w:szCs w:val="18"/>
          <w:color w:val="auto"/>
        </w:rPr>
        <w:t>“As we started our 85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anniversary year, we were pleased in late February to welcome most of our associates back to our offices in our new hybrid work format, and we have seen the steady return of travel in most regions. These opportunities for more in-person collaboration will allow us to make deeper connections with each other, our clients, and our portfolio companies, while continuing to provide flexibility for associates.”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Under Management</w:t>
      </w:r>
    </w:p>
    <w:p>
      <w:pPr>
        <w:spacing w:after="0" w:line="104" w:lineRule="exact"/>
        <w:rPr>
          <w:sz w:val="20"/>
          <w:szCs w:val="20"/>
          <w:color w:val="auto"/>
        </w:rPr>
      </w:pPr>
    </w:p>
    <w:p>
      <w:pPr>
        <w:ind w:right="120"/>
        <w:spacing w:after="0" w:line="373" w:lineRule="auto"/>
        <w:rPr>
          <w:sz w:val="20"/>
          <w:szCs w:val="20"/>
          <w:color w:val="auto"/>
        </w:rPr>
      </w:pPr>
      <w:r>
        <w:rPr>
          <w:rFonts w:ascii="Arial" w:cs="Arial" w:eastAsia="Arial" w:hAnsi="Arial"/>
          <w:sz w:val="18"/>
          <w:szCs w:val="18"/>
          <w:color w:val="auto"/>
        </w:rPr>
        <w:t>During Q1 2022, assets under management (AUM) decreased $136.0 billion to $1.55 trillion. Market depreciation, net of distributions not reinvested, of $130.7 billion and net cash outflows of $5.3 billion reduced the firm's AUM during Q1 2022. Clients transferred $4.1 billion in net assets from the U.S. mutual funds to collective investment trusts and other investment products, of which $3.3 billion transferred into the retirement date trusts. The components of the change in assets under management, by vehicle and asset class, are shown in the tables below.</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940" w:type="dxa"/>
            <w:vAlign w:val="bottom"/>
            <w:tcBorders>
              <w:bottom w:val="single" w:sz="8" w:color="auto"/>
            </w:tcBorders>
            <w:gridSpan w:val="7"/>
            <w:shd w:val="clear" w:color="auto" w:fill="CCEEFF"/>
          </w:tcPr>
          <w:p>
            <w:pPr>
              <w:ind w:left="340"/>
              <w:spacing w:after="0"/>
              <w:rPr>
                <w:sz w:val="20"/>
                <w:szCs w:val="20"/>
                <w:color w:val="auto"/>
              </w:rPr>
            </w:pPr>
            <w:r>
              <w:rPr>
                <w:rFonts w:ascii="Arial" w:cs="Arial" w:eastAsia="Arial" w:hAnsi="Arial"/>
                <w:sz w:val="14"/>
                <w:szCs w:val="14"/>
                <w:color w:val="auto"/>
              </w:rPr>
              <w:t>Three months ended 3/31/2022</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tcPr>
          <w:p>
            <w:pPr>
              <w:jc w:val="center"/>
              <w:ind w:right="260"/>
              <w:spacing w:after="0" w:line="142" w:lineRule="exact"/>
              <w:rPr>
                <w:sz w:val="20"/>
                <w:szCs w:val="20"/>
                <w:color w:val="auto"/>
              </w:rPr>
            </w:pPr>
            <w:r>
              <w:rPr>
                <w:rFonts w:ascii="Arial" w:cs="Arial" w:eastAsia="Arial" w:hAnsi="Arial"/>
                <w:sz w:val="14"/>
                <w:szCs w:val="14"/>
                <w:color w:val="auto"/>
              </w:rPr>
              <w:t>Subadvised funds</w:t>
            </w:r>
          </w:p>
        </w:tc>
        <w:tc>
          <w:tcPr>
            <w:tcW w:w="20" w:type="dxa"/>
            <w:vAlign w:val="bottom"/>
          </w:tcPr>
          <w:p>
            <w:pPr>
              <w:spacing w:after="0"/>
              <w:rPr>
                <w:sz w:val="12"/>
                <w:szCs w:val="12"/>
                <w:color w:val="auto"/>
              </w:rPr>
            </w:pPr>
          </w:p>
        </w:tc>
        <w:tc>
          <w:tcPr>
            <w:tcW w:w="1520" w:type="dxa"/>
            <w:vAlign w:val="bottom"/>
            <w:gridSpan w:val="3"/>
          </w:tcPr>
          <w:p>
            <w:pPr>
              <w:jc w:val="center"/>
              <w:ind w:right="120"/>
              <w:spacing w:after="0" w:line="142" w:lineRule="exact"/>
              <w:rPr>
                <w:sz w:val="20"/>
                <w:szCs w:val="20"/>
                <w:color w:val="auto"/>
              </w:rPr>
            </w:pPr>
            <w:r>
              <w:rPr>
                <w:rFonts w:ascii="Arial" w:cs="Arial" w:eastAsia="Arial" w:hAnsi="Arial"/>
                <w:sz w:val="14"/>
                <w:szCs w:val="14"/>
                <w:color w:val="auto"/>
              </w:rPr>
              <w:t>Collective investment</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680" w:type="dxa"/>
            <w:vAlign w:val="bottom"/>
            <w:vMerge w:val="restart"/>
          </w:tcPr>
          <w:p>
            <w:pPr>
              <w:ind w:left="20"/>
              <w:spacing w:after="0"/>
              <w:rPr>
                <w:sz w:val="20"/>
                <w:szCs w:val="20"/>
                <w:color w:val="auto"/>
              </w:rPr>
            </w:pPr>
            <w:r>
              <w:rPr>
                <w:rFonts w:ascii="Arial" w:cs="Arial" w:eastAsia="Arial" w:hAnsi="Arial"/>
                <w:sz w:val="14"/>
                <w:szCs w:val="14"/>
                <w:color w:val="auto"/>
              </w:rPr>
              <w:t>(in billions)</w:t>
            </w: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vMerge w:val="restart"/>
          </w:tcPr>
          <w:p>
            <w:pPr>
              <w:jc w:val="center"/>
              <w:ind w:right="260"/>
              <w:spacing w:after="0"/>
              <w:rPr>
                <w:sz w:val="20"/>
                <w:szCs w:val="20"/>
                <w:color w:val="auto"/>
              </w:rPr>
            </w:pPr>
            <w:r>
              <w:rPr>
                <w:rFonts w:ascii="Arial" w:cs="Arial" w:eastAsia="Arial" w:hAnsi="Arial"/>
                <w:sz w:val="14"/>
                <w:szCs w:val="14"/>
                <w:color w:val="auto"/>
              </w:rPr>
              <w:t>U.S. mutual funds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tcPr>
          <w:p>
            <w:pPr>
              <w:jc w:val="center"/>
              <w:ind w:right="240"/>
              <w:spacing w:after="0" w:line="139" w:lineRule="exact"/>
              <w:rPr>
                <w:sz w:val="20"/>
                <w:szCs w:val="20"/>
                <w:color w:val="auto"/>
              </w:rPr>
            </w:pPr>
            <w:r>
              <w:rPr>
                <w:rFonts w:ascii="Arial" w:cs="Arial" w:eastAsia="Arial" w:hAnsi="Arial"/>
                <w:sz w:val="14"/>
                <w:szCs w:val="14"/>
                <w:color w:val="auto"/>
              </w:rPr>
              <w:t>and separate</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20"/>
              <w:spacing w:after="0" w:line="139" w:lineRule="exact"/>
              <w:rPr>
                <w:sz w:val="20"/>
                <w:szCs w:val="20"/>
                <w:color w:val="auto"/>
              </w:rPr>
            </w:pPr>
            <w:r>
              <w:rPr>
                <w:rFonts w:ascii="Arial" w:cs="Arial" w:eastAsia="Arial" w:hAnsi="Arial"/>
                <w:sz w:val="14"/>
                <w:szCs w:val="14"/>
                <w:color w:val="auto"/>
              </w:rPr>
              <w:t>trusts and other</w:t>
            </w:r>
          </w:p>
        </w:tc>
        <w:tc>
          <w:tcPr>
            <w:tcW w:w="340" w:type="dxa"/>
            <w:vAlign w:val="bottom"/>
          </w:tcPr>
          <w:p>
            <w:pPr>
              <w:spacing w:after="0"/>
              <w:rPr>
                <w:sz w:val="12"/>
                <w:szCs w:val="12"/>
                <w:color w:val="auto"/>
              </w:rPr>
            </w:pPr>
          </w:p>
        </w:tc>
        <w:tc>
          <w:tcPr>
            <w:tcW w:w="1100" w:type="dxa"/>
            <w:vAlign w:val="bottom"/>
            <w:vMerge w:val="restart"/>
          </w:tcPr>
          <w:p>
            <w:pPr>
              <w:jc w:val="right"/>
              <w:ind w:right="4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4"/>
        </w:trPr>
        <w:tc>
          <w:tcPr>
            <w:tcW w:w="36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3"/>
          </w:tcPr>
          <w:p>
            <w:pPr>
              <w:jc w:val="center"/>
              <w:ind w:right="260"/>
              <w:spacing w:after="0"/>
              <w:rPr>
                <w:sz w:val="20"/>
                <w:szCs w:val="20"/>
                <w:color w:val="auto"/>
              </w:rPr>
            </w:pPr>
            <w:r>
              <w:rPr>
                <w:rFonts w:ascii="Arial" w:cs="Arial" w:eastAsia="Arial" w:hAnsi="Arial"/>
                <w:sz w:val="14"/>
                <w:szCs w:val="14"/>
                <w:color w:val="auto"/>
              </w:rPr>
              <w:t>accounts</w:t>
            </w:r>
          </w:p>
        </w:tc>
        <w:tc>
          <w:tcPr>
            <w:tcW w:w="20" w:type="dxa"/>
            <w:vAlign w:val="bottom"/>
          </w:tcPr>
          <w:p>
            <w:pPr>
              <w:spacing w:after="0"/>
              <w:rPr>
                <w:sz w:val="16"/>
                <w:szCs w:val="16"/>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4"/>
                <w:szCs w:val="14"/>
                <w:color w:val="auto"/>
              </w:rPr>
              <w:t>investment products</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under management at beginning of period</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871.4</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45"/>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1,687.8</w:t>
            </w:r>
          </w:p>
        </w:tc>
        <w:tc>
          <w:tcPr>
            <w:tcW w:w="0" w:type="dxa"/>
            <w:vAlign w:val="bottom"/>
          </w:tcPr>
          <w:p>
            <w:pPr>
              <w:spacing w:after="0"/>
              <w:rPr>
                <w:sz w:val="1"/>
                <w:szCs w:val="1"/>
                <w:color w:val="auto"/>
              </w:rPr>
            </w:pPr>
          </w:p>
        </w:tc>
      </w:tr>
      <w:tr>
        <w:trPr>
          <w:trHeight w:val="89"/>
        </w:trPr>
        <w:tc>
          <w:tcPr>
            <w:tcW w:w="3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flows before client transfers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5"/>
        </w:trPr>
        <w:tc>
          <w:tcPr>
            <w:tcW w:w="3680" w:type="dxa"/>
            <w:vAlign w:val="bottom"/>
          </w:tcPr>
          <w:p>
            <w:pPr>
              <w:ind w:left="20"/>
              <w:spacing w:after="0"/>
              <w:rPr>
                <w:sz w:val="20"/>
                <w:szCs w:val="20"/>
                <w:color w:val="auto"/>
              </w:rPr>
            </w:pPr>
            <w:r>
              <w:rPr>
                <w:rFonts w:ascii="Arial" w:cs="Arial" w:eastAsia="Arial" w:hAnsi="Arial"/>
                <w:sz w:val="16"/>
                <w:szCs w:val="16"/>
                <w:color w:val="auto"/>
              </w:rPr>
              <w:t>Client transfers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flows after client transfers</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5"/>
        </w:trPr>
        <w:tc>
          <w:tcPr>
            <w:tcW w:w="3680" w:type="dxa"/>
            <w:vAlign w:val="bottom"/>
          </w:tcPr>
          <w:p>
            <w:pPr>
              <w:ind w:left="20"/>
              <w:spacing w:after="0"/>
              <w:rPr>
                <w:sz w:val="20"/>
                <w:szCs w:val="20"/>
                <w:color w:val="auto"/>
              </w:rPr>
            </w:pPr>
            <w:r>
              <w:rPr>
                <w:rFonts w:ascii="Arial" w:cs="Arial" w:eastAsia="Arial" w:hAnsi="Arial"/>
                <w:sz w:val="16"/>
                <w:szCs w:val="16"/>
                <w:color w:val="auto"/>
              </w:rPr>
              <w:t>Net market depreciation and losses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(130.3)</w:t>
            </w:r>
          </w:p>
        </w:tc>
        <w:tc>
          <w:tcPr>
            <w:tcW w:w="0" w:type="dxa"/>
            <w:vAlign w:val="bottom"/>
          </w:tcPr>
          <w:p>
            <w:pPr>
              <w:spacing w:after="0"/>
              <w:rPr>
                <w:sz w:val="1"/>
                <w:szCs w:val="1"/>
                <w:color w:val="auto"/>
              </w:rPr>
            </w:pPr>
          </w:p>
        </w:tc>
      </w:tr>
      <w:tr>
        <w:trPr>
          <w:trHeight w:val="217"/>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distributions not reinvested</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9"/>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during the period</w:t>
            </w:r>
          </w:p>
        </w:tc>
        <w:tc>
          <w:tcPr>
            <w:tcW w:w="3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(82.0)</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(39.1)</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(136.0)</w:t>
            </w:r>
          </w:p>
        </w:tc>
        <w:tc>
          <w:tcPr>
            <w:tcW w:w="0" w:type="dxa"/>
            <w:vAlign w:val="bottom"/>
          </w:tcPr>
          <w:p>
            <w:pPr>
              <w:spacing w:after="0"/>
              <w:rPr>
                <w:sz w:val="1"/>
                <w:szCs w:val="1"/>
                <w:color w:val="auto"/>
              </w:rPr>
            </w:pPr>
          </w:p>
        </w:tc>
      </w:tr>
      <w:tr>
        <w:trPr>
          <w:trHeight w:val="235"/>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under management at March 31, 2022</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789.4</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398.0</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jc w:val="right"/>
              <w:ind w:right="45"/>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1,551.8</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1420" w:type="dxa"/>
            <w:vAlign w:val="bottom"/>
            <w:gridSpan w:val="3"/>
          </w:tcPr>
          <w:p>
            <w:pPr>
              <w:spacing w:after="0"/>
              <w:rPr>
                <w:sz w:val="13"/>
                <w:szCs w:val="13"/>
                <w:color w:val="auto"/>
              </w:rPr>
            </w:pPr>
          </w:p>
        </w:tc>
        <w:tc>
          <w:tcPr>
            <w:tcW w:w="12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6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3160" w:type="dxa"/>
            <w:vAlign w:val="bottom"/>
            <w:tcBorders>
              <w:bottom w:val="single" w:sz="8" w:color="auto"/>
            </w:tcBorders>
            <w:gridSpan w:val="10"/>
            <w:shd w:val="clear" w:color="auto" w:fill="CCEEFF"/>
          </w:tcPr>
          <w:p>
            <w:pPr>
              <w:jc w:val="right"/>
              <w:spacing w:after="0"/>
              <w:rPr>
                <w:sz w:val="20"/>
                <w:szCs w:val="20"/>
                <w:color w:val="auto"/>
              </w:rPr>
            </w:pPr>
            <w:r>
              <w:rPr>
                <w:rFonts w:ascii="Arial" w:cs="Arial" w:eastAsia="Arial" w:hAnsi="Arial"/>
                <w:sz w:val="14"/>
                <w:szCs w:val="14"/>
                <w:color w:val="auto"/>
              </w:rPr>
              <w:t>Three months ended 3/31/2022</w:t>
            </w:r>
          </w:p>
        </w:tc>
        <w:tc>
          <w:tcPr>
            <w:tcW w:w="12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3"/>
          </w:tcPr>
          <w:p>
            <w:pPr>
              <w:jc w:val="center"/>
              <w:ind w:right="220"/>
              <w:spacing w:after="0" w:line="151" w:lineRule="exact"/>
              <w:rPr>
                <w:sz w:val="20"/>
                <w:szCs w:val="20"/>
                <w:color w:val="auto"/>
              </w:rPr>
            </w:pPr>
            <w:r>
              <w:rPr>
                <w:rFonts w:ascii="Arial" w:cs="Arial" w:eastAsia="Arial" w:hAnsi="Arial"/>
                <w:sz w:val="14"/>
                <w:szCs w:val="14"/>
                <w:color w:val="auto"/>
              </w:rPr>
              <w:t>Fixed income,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680" w:type="dxa"/>
            <w:vAlign w:val="bottom"/>
            <w:vMerge w:val="restart"/>
          </w:tcPr>
          <w:p>
            <w:pPr>
              <w:ind w:left="20"/>
              <w:spacing w:after="0"/>
              <w:rPr>
                <w:sz w:val="20"/>
                <w:szCs w:val="20"/>
                <w:color w:val="auto"/>
              </w:rPr>
            </w:pPr>
            <w:r>
              <w:rPr>
                <w:rFonts w:ascii="Arial" w:cs="Arial" w:eastAsia="Arial" w:hAnsi="Arial"/>
                <w:sz w:val="14"/>
                <w:szCs w:val="14"/>
                <w:color w:val="auto"/>
              </w:rPr>
              <w:t>(in billions)</w:t>
            </w:r>
          </w:p>
        </w:tc>
        <w:tc>
          <w:tcPr>
            <w:tcW w:w="300" w:type="dxa"/>
            <w:vAlign w:val="bottom"/>
          </w:tcPr>
          <w:p>
            <w:pPr>
              <w:spacing w:after="0"/>
              <w:rPr>
                <w:sz w:val="12"/>
                <w:szCs w:val="12"/>
                <w:color w:val="auto"/>
              </w:rPr>
            </w:pPr>
          </w:p>
        </w:tc>
        <w:tc>
          <w:tcPr>
            <w:tcW w:w="1200" w:type="dxa"/>
            <w:vAlign w:val="bottom"/>
            <w:gridSpan w:val="2"/>
            <w:vMerge w:val="restart"/>
          </w:tcPr>
          <w:p>
            <w:pPr>
              <w:ind w:left="200"/>
              <w:spacing w:after="0"/>
              <w:rPr>
                <w:sz w:val="20"/>
                <w:szCs w:val="20"/>
                <w:color w:val="auto"/>
              </w:rPr>
            </w:pPr>
            <w:r>
              <w:rPr>
                <w:rFonts w:ascii="Arial" w:cs="Arial" w:eastAsia="Arial" w:hAnsi="Arial"/>
                <w:sz w:val="14"/>
                <w:szCs w:val="14"/>
                <w:color w:val="auto"/>
              </w:rPr>
              <w:t>Equity</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tcPr>
          <w:p>
            <w:pPr>
              <w:jc w:val="center"/>
              <w:ind w:right="200"/>
              <w:spacing w:after="0" w:line="145" w:lineRule="exact"/>
              <w:rPr>
                <w:sz w:val="20"/>
                <w:szCs w:val="20"/>
                <w:color w:val="auto"/>
              </w:rPr>
            </w:pPr>
            <w:r>
              <w:rPr>
                <w:rFonts w:ascii="Arial" w:cs="Arial" w:eastAsia="Arial" w:hAnsi="Arial"/>
                <w:sz w:val="14"/>
                <w:szCs w:val="14"/>
                <w:color w:val="auto"/>
              </w:rPr>
              <w:t>including money</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vMerge w:val="restart"/>
          </w:tcPr>
          <w:p>
            <w:pPr>
              <w:jc w:val="center"/>
              <w:ind w:right="220"/>
              <w:spacing w:after="0"/>
              <w:rPr>
                <w:sz w:val="20"/>
                <w:szCs w:val="20"/>
                <w:color w:val="auto"/>
              </w:rPr>
            </w:pPr>
            <w:r>
              <w:rPr>
                <w:rFonts w:ascii="Arial" w:cs="Arial" w:eastAsia="Arial" w:hAnsi="Arial"/>
                <w:sz w:val="14"/>
                <w:szCs w:val="14"/>
                <w:color w:val="auto"/>
                <w:w w:val="99"/>
              </w:rPr>
              <w:t>Multi-asset</w:t>
            </w:r>
            <w:r>
              <w:rPr>
                <w:rFonts w:ascii="Arial" w:cs="Arial" w:eastAsia="Arial" w:hAnsi="Arial"/>
                <w:sz w:val="18"/>
                <w:szCs w:val="18"/>
                <w:color w:val="auto"/>
                <w:w w:val="99"/>
                <w:vertAlign w:val="superscript"/>
              </w:rPr>
              <w:t>(1)</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97"/>
              </w:rPr>
              <w:t>Alternatives</w:t>
            </w:r>
            <w:r>
              <w:rPr>
                <w:rFonts w:ascii="Arial" w:cs="Arial" w:eastAsia="Arial" w:hAnsi="Arial"/>
                <w:sz w:val="18"/>
                <w:szCs w:val="18"/>
                <w:color w:val="auto"/>
                <w:w w:val="97"/>
                <w:vertAlign w:val="superscript"/>
              </w:rPr>
              <w:t>(2)</w:t>
            </w:r>
          </w:p>
        </w:tc>
        <w:tc>
          <w:tcPr>
            <w:tcW w:w="340" w:type="dxa"/>
            <w:vAlign w:val="bottom"/>
          </w:tcPr>
          <w:p>
            <w:pPr>
              <w:spacing w:after="0"/>
              <w:rPr>
                <w:sz w:val="12"/>
                <w:szCs w:val="12"/>
                <w:color w:val="auto"/>
              </w:rPr>
            </w:pPr>
          </w:p>
        </w:tc>
        <w:tc>
          <w:tcPr>
            <w:tcW w:w="1100" w:type="dxa"/>
            <w:vAlign w:val="bottom"/>
            <w:vMerge w:val="restart"/>
          </w:tcPr>
          <w:p>
            <w:pPr>
              <w:jc w:val="right"/>
              <w:ind w:right="4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9"/>
        </w:trPr>
        <w:tc>
          <w:tcPr>
            <w:tcW w:w="36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3"/>
          </w:tcPr>
          <w:p>
            <w:pPr>
              <w:jc w:val="center"/>
              <w:ind w:right="200"/>
              <w:spacing w:after="0"/>
              <w:rPr>
                <w:sz w:val="20"/>
                <w:szCs w:val="20"/>
                <w:color w:val="auto"/>
              </w:rPr>
            </w:pPr>
            <w:r>
              <w:rPr>
                <w:rFonts w:ascii="Arial" w:cs="Arial" w:eastAsia="Arial" w:hAnsi="Arial"/>
                <w:sz w:val="14"/>
                <w:szCs w:val="14"/>
                <w:color w:val="auto"/>
              </w:rPr>
              <w:t>market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under management at beginning of period</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992.7</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1,687.8</w:t>
            </w:r>
          </w:p>
        </w:tc>
        <w:tc>
          <w:tcPr>
            <w:tcW w:w="0" w:type="dxa"/>
            <w:vAlign w:val="bottom"/>
          </w:tcPr>
          <w:p>
            <w:pPr>
              <w:spacing w:after="0"/>
              <w:rPr>
                <w:sz w:val="1"/>
                <w:szCs w:val="1"/>
                <w:color w:val="auto"/>
              </w:rPr>
            </w:pPr>
          </w:p>
        </w:tc>
      </w:tr>
      <w:tr>
        <w:trPr>
          <w:trHeight w:val="89"/>
        </w:trPr>
        <w:tc>
          <w:tcPr>
            <w:tcW w:w="3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6"/>
        </w:trPr>
        <w:tc>
          <w:tcPr>
            <w:tcW w:w="368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Net market depreciation and losses</w:t>
            </w:r>
            <w:r>
              <w:rPr>
                <w:rFonts w:ascii="Arial" w:cs="Arial" w:eastAsia="Arial" w:hAnsi="Arial"/>
                <w:sz w:val="21"/>
                <w:szCs w:val="21"/>
                <w:color w:val="auto"/>
                <w:vertAlign w:val="superscript"/>
              </w:rPr>
              <w:t>(3)</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(96.6)</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(130.7)</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during the period</w:t>
            </w: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(136.0)</w:t>
            </w:r>
          </w:p>
        </w:tc>
        <w:tc>
          <w:tcPr>
            <w:tcW w:w="0" w:type="dxa"/>
            <w:vAlign w:val="bottom"/>
          </w:tcPr>
          <w:p>
            <w:pPr>
              <w:spacing w:after="0"/>
              <w:rPr>
                <w:sz w:val="1"/>
                <w:szCs w:val="1"/>
                <w:color w:val="auto"/>
              </w:rPr>
            </w:pPr>
          </w:p>
        </w:tc>
      </w:tr>
      <w:tr>
        <w:trPr>
          <w:trHeight w:val="142"/>
        </w:trPr>
        <w:tc>
          <w:tcPr>
            <w:tcW w:w="3680" w:type="dxa"/>
            <w:vAlign w:val="bottom"/>
          </w:tcPr>
          <w:p>
            <w:pPr>
              <w:ind w:left="20"/>
              <w:spacing w:after="0" w:line="142" w:lineRule="exact"/>
              <w:rPr>
                <w:sz w:val="20"/>
                <w:szCs w:val="20"/>
                <w:color w:val="auto"/>
              </w:rPr>
            </w:pPr>
            <w:r>
              <w:rPr>
                <w:rFonts w:ascii="Arial" w:cs="Arial" w:eastAsia="Arial" w:hAnsi="Arial"/>
                <w:sz w:val="16"/>
                <w:szCs w:val="16"/>
                <w:color w:val="auto"/>
              </w:rPr>
              <w:t>Assets under management at</w:t>
            </w: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vMerge w:val="restart"/>
          </w:tcPr>
          <w:p>
            <w:pPr>
              <w:jc w:val="right"/>
              <w:ind w:right="1"/>
              <w:spacing w:after="0"/>
              <w:rPr>
                <w:sz w:val="20"/>
                <w:szCs w:val="20"/>
                <w:color w:val="auto"/>
              </w:rPr>
            </w:pPr>
            <w:r>
              <w:rPr>
                <w:rFonts w:ascii="Arial" w:cs="Arial" w:eastAsia="Arial" w:hAnsi="Arial"/>
                <w:sz w:val="16"/>
                <w:szCs w:val="16"/>
                <w:color w:val="auto"/>
              </w:rPr>
              <w:t>878.0</w:t>
            </w:r>
          </w:p>
        </w:tc>
        <w:tc>
          <w:tcPr>
            <w:tcW w:w="80" w:type="dxa"/>
            <w:vAlign w:val="bottom"/>
          </w:tcPr>
          <w:p>
            <w:pPr>
              <w:spacing w:after="0"/>
              <w:rPr>
                <w:sz w:val="12"/>
                <w:szCs w:val="12"/>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175.2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456.4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gridSpan w:val="2"/>
            <w:vMerge w:val="restart"/>
          </w:tcPr>
          <w:p>
            <w:pPr>
              <w:jc w:val="right"/>
              <w:ind w:right="25"/>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42.2</w:t>
            </w:r>
          </w:p>
        </w:tc>
        <w:tc>
          <w:tcPr>
            <w:tcW w:w="100" w:type="dxa"/>
            <w:vAlign w:val="bottom"/>
          </w:tcPr>
          <w:p>
            <w:pPr>
              <w:spacing w:after="0"/>
              <w:rPr>
                <w:sz w:val="12"/>
                <w:szCs w:val="12"/>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1,551.8</w:t>
            </w:r>
          </w:p>
        </w:tc>
        <w:tc>
          <w:tcPr>
            <w:tcW w:w="0" w:type="dxa"/>
            <w:vAlign w:val="bottom"/>
          </w:tcPr>
          <w:p>
            <w:pPr>
              <w:spacing w:after="0"/>
              <w:rPr>
                <w:sz w:val="1"/>
                <w:szCs w:val="1"/>
                <w:color w:val="auto"/>
              </w:rPr>
            </w:pPr>
          </w:p>
        </w:tc>
      </w:tr>
      <w:tr>
        <w:trPr>
          <w:trHeight w:val="189"/>
        </w:trPr>
        <w:tc>
          <w:tcPr>
            <w:tcW w:w="3680" w:type="dxa"/>
            <w:vAlign w:val="bottom"/>
          </w:tcPr>
          <w:p>
            <w:pPr>
              <w:ind w:left="20"/>
              <w:spacing w:after="0"/>
              <w:rPr>
                <w:sz w:val="20"/>
                <w:szCs w:val="20"/>
                <w:color w:val="auto"/>
              </w:rPr>
            </w:pPr>
            <w:r>
              <w:rPr>
                <w:rFonts w:ascii="Arial" w:cs="Arial" w:eastAsia="Arial" w:hAnsi="Arial"/>
                <w:sz w:val="16"/>
                <w:szCs w:val="16"/>
                <w:color w:val="auto"/>
              </w:rPr>
              <w:t>March 31, 2022</w:t>
            </w:r>
          </w:p>
        </w:tc>
        <w:tc>
          <w:tcPr>
            <w:tcW w:w="30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gridSpan w:val="2"/>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gridSpan w:val="2"/>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220" w:hanging="212"/>
        <w:spacing w:after="0"/>
        <w:tabs>
          <w:tab w:leader="none" w:pos="220" w:val="left"/>
        </w:tabs>
        <w:numPr>
          <w:ilvl w:val="0"/>
          <w:numId w:val="28"/>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underlying AUM of the multi-asset portfolios have been aggregated and presented in this category and not reported in the equity and fixed income columns.</w:t>
      </w:r>
    </w:p>
    <w:p>
      <w:pPr>
        <w:ind w:left="180" w:right="380" w:hanging="172"/>
        <w:spacing w:after="0" w:line="229" w:lineRule="auto"/>
        <w:tabs>
          <w:tab w:leader="none" w:pos="140" w:val="left"/>
        </w:tabs>
        <w:numPr>
          <w:ilvl w:val="0"/>
          <w:numId w:val="28"/>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The alternatives asset class includes strategies authorized to invest more than 50% of its holdings in private credit, leveraged loans, mezzanine, real assets/CRE, structured products, stressed / distressed, non-investment grade CLOs, special situations, or have absolute return as its investment objective. Generally, only those strategies with longer than daily liquidity are included.</w:t>
      </w:r>
    </w:p>
    <w:p>
      <w:pPr>
        <w:ind w:left="140" w:hanging="132"/>
        <w:spacing w:after="0" w:line="200" w:lineRule="auto"/>
        <w:tabs>
          <w:tab w:leader="none" w:pos="140" w:val="left"/>
        </w:tabs>
        <w:numPr>
          <w:ilvl w:val="0"/>
          <w:numId w:val="28"/>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Includes distributions reinvested and not reinvested.</w:t>
      </w:r>
    </w:p>
    <w:p>
      <w:pPr>
        <w:spacing w:after="0" w:line="200" w:lineRule="exact"/>
        <w:rPr>
          <w:sz w:val="20"/>
          <w:szCs w:val="20"/>
          <w:color w:val="auto"/>
        </w:rPr>
      </w:pPr>
    </w:p>
    <w:p>
      <w:pPr>
        <w:spacing w:after="0" w:line="336" w:lineRule="exact"/>
        <w:rPr>
          <w:sz w:val="20"/>
          <w:szCs w:val="20"/>
          <w:color w:val="auto"/>
        </w:rPr>
      </w:pPr>
    </w:p>
    <w:p>
      <w:pPr>
        <w:ind w:right="40"/>
        <w:spacing w:after="0" w:line="378" w:lineRule="auto"/>
        <w:rPr>
          <w:sz w:val="20"/>
          <w:szCs w:val="20"/>
          <w:color w:val="auto"/>
        </w:rPr>
      </w:pPr>
      <w:r>
        <w:rPr>
          <w:rFonts w:ascii="Arial" w:cs="Arial" w:eastAsia="Arial" w:hAnsi="Arial"/>
          <w:sz w:val="18"/>
          <w:szCs w:val="18"/>
          <w:color w:val="auto"/>
        </w:rPr>
        <w:t>AUM in the firm's target date retirement products, which are reported as part of the multi-asset column in the table above, were $375.2 billion at March 31, 2022, compared with $391.1 billion at December 31, 2021. These portfolios experienced net cash inflows of $7.3 billion for Q1 2022.</w:t>
      </w:r>
    </w:p>
    <w:p>
      <w:pPr>
        <w:spacing w:after="0" w:line="196" w:lineRule="exact"/>
        <w:rPr>
          <w:sz w:val="20"/>
          <w:szCs w:val="20"/>
          <w:color w:val="auto"/>
        </w:rPr>
      </w:pPr>
    </w:p>
    <w:p>
      <w:pPr>
        <w:ind w:right="360"/>
        <w:spacing w:after="0" w:line="396" w:lineRule="auto"/>
        <w:rPr>
          <w:sz w:val="20"/>
          <w:szCs w:val="20"/>
          <w:color w:val="auto"/>
        </w:rPr>
      </w:pPr>
      <w:r>
        <w:rPr>
          <w:rFonts w:ascii="Arial" w:cs="Arial" w:eastAsia="Arial" w:hAnsi="Arial"/>
          <w:sz w:val="18"/>
          <w:szCs w:val="18"/>
          <w:color w:val="auto"/>
        </w:rPr>
        <w:t>Investors domiciled outside the United States accounted for 9.7% of the firm's assets under management at March 31, 2022 and 9.9% at December 31, 2021.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37" w:right="339" w:bottom="1440" w:gutter="0" w:footer="0" w:header="0"/>
        </w:sectPr>
      </w:pPr>
    </w:p>
    <w:bookmarkStart w:id="46" w:name="page47"/>
    <w:bookmarkEnd w:id="46"/>
    <w:p>
      <w:pPr>
        <w:jc w:val="both"/>
        <w:spacing w:after="0" w:line="378" w:lineRule="auto"/>
        <w:rPr>
          <w:sz w:val="20"/>
          <w:szCs w:val="20"/>
          <w:color w:val="auto"/>
        </w:rPr>
      </w:pPr>
      <w:r>
        <w:rPr>
          <w:rFonts w:ascii="Arial" w:cs="Arial" w:eastAsia="Arial" w:hAnsi="Arial"/>
          <w:sz w:val="18"/>
          <w:szCs w:val="18"/>
          <w:color w:val="auto"/>
        </w:rPr>
        <w:t>The firm provides participant accounting and plan administration for defined contribution retirement plans that invest in the firm's U.S. mutual funds and collective investment trusts, as well as funds managed outside of the firm's complex. As of March 31, 2022, the firm's assets under administration were $256 billion, of which $153 billion are assets we manage.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In recent years, the firm began offering non-discretionary advisory services through model delivery and multi-asset solutions for providers to</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implement. The firm records the revenue earned on these services in administrative fees. The assets under advisement in these portfolios,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predominantly in the United States, were $8 billion at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March 31, 2022.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171" w:lineRule="exact"/>
        <w:rPr>
          <w:sz w:val="20"/>
          <w:szCs w:val="20"/>
          <w:color w:val="auto"/>
        </w:rPr>
      </w:pPr>
    </w:p>
    <w:p>
      <w:pPr>
        <w:ind w:right="360"/>
        <w:spacing w:after="0" w:line="377" w:lineRule="auto"/>
        <w:rPr>
          <w:sz w:val="20"/>
          <w:szCs w:val="20"/>
          <w:color w:val="auto"/>
        </w:rPr>
      </w:pPr>
      <w:r>
        <w:rPr>
          <w:rFonts w:ascii="Arial" w:cs="Arial" w:eastAsia="Arial" w:hAnsi="Arial"/>
          <w:sz w:val="18"/>
          <w:szCs w:val="18"/>
          <w:b w:val="1"/>
          <w:bCs w:val="1"/>
          <w:color w:val="auto"/>
        </w:rPr>
        <w:t xml:space="preserve">Net revenues </w:t>
      </w:r>
      <w:r>
        <w:rPr>
          <w:rFonts w:ascii="Arial" w:cs="Arial" w:eastAsia="Arial" w:hAnsi="Arial"/>
          <w:sz w:val="18"/>
          <w:szCs w:val="18"/>
          <w:color w:val="auto"/>
        </w:rPr>
        <w:t>earned in Q1 2022 were nearly $1.9 billion, an increase of 2.0% from Q1 2021. Average assets under management in Q1</w:t>
      </w:r>
      <w:r>
        <w:rPr>
          <w:rFonts w:ascii="Arial" w:cs="Arial" w:eastAsia="Arial" w:hAnsi="Arial"/>
          <w:sz w:val="18"/>
          <w:szCs w:val="18"/>
          <w:b w:val="1"/>
          <w:bCs w:val="1"/>
          <w:color w:val="auto"/>
        </w:rPr>
        <w:t xml:space="preserve"> </w:t>
      </w:r>
      <w:r>
        <w:rPr>
          <w:rFonts w:ascii="Arial" w:cs="Arial" w:eastAsia="Arial" w:hAnsi="Arial"/>
          <w:sz w:val="18"/>
          <w:szCs w:val="18"/>
          <w:color w:val="auto"/>
        </w:rPr>
        <w:t>2022 were $1.56 trillion, an increase of 3.4% from Q1 2021. The firm voluntarily waived money market advisory fees in Q1 2022 of $9.2 million, compared with $15.0 million in Q1 2021, to continue to maintain positive yields for investors. The firm anticipates that waivers will continue to decline in Q2 2022 and are expected to cease by the end of the second quarter.</w:t>
      </w:r>
    </w:p>
    <w:p>
      <w:pPr>
        <w:spacing w:after="0" w:line="103" w:lineRule="exact"/>
        <w:rPr>
          <w:sz w:val="20"/>
          <w:szCs w:val="20"/>
          <w:color w:val="auto"/>
        </w:rPr>
      </w:pPr>
    </w:p>
    <w:p>
      <w:pPr>
        <w:ind w:left="660" w:right="20" w:hanging="328"/>
        <w:spacing w:after="0" w:line="374" w:lineRule="auto"/>
        <w:tabs>
          <w:tab w:leader="none" w:pos="656" w:val="left"/>
        </w:tabs>
        <w:numPr>
          <w:ilvl w:val="0"/>
          <w:numId w:val="29"/>
        </w:numPr>
        <w:rPr>
          <w:rFonts w:ascii="Arial" w:cs="Arial" w:eastAsia="Arial" w:hAnsi="Arial"/>
          <w:sz w:val="22"/>
          <w:szCs w:val="22"/>
          <w:color w:val="40AEFF"/>
        </w:rPr>
      </w:pPr>
      <w:r>
        <w:rPr>
          <w:rFonts w:ascii="Arial" w:cs="Arial" w:eastAsia="Arial" w:hAnsi="Arial"/>
          <w:sz w:val="18"/>
          <w:szCs w:val="18"/>
          <w:color w:val="auto"/>
        </w:rPr>
        <w:t>Investment advisory revenues earned in Q1 2022 from the firm's U.S. mutual funds were $976.5 million, a decrease of 7.0% from Q1 2021. Average assets under management in these funds decreased 2.0% to $798.0 billion in Q1 2022 from Q1 2021.</w:t>
      </w:r>
    </w:p>
    <w:p>
      <w:pPr>
        <w:spacing w:after="0" w:line="254" w:lineRule="exact"/>
        <w:rPr>
          <w:rFonts w:ascii="Arial" w:cs="Arial" w:eastAsia="Arial" w:hAnsi="Arial"/>
          <w:sz w:val="22"/>
          <w:szCs w:val="22"/>
          <w:color w:val="40AEFF"/>
        </w:rPr>
      </w:pPr>
    </w:p>
    <w:p>
      <w:pPr>
        <w:ind w:left="660" w:hanging="328"/>
        <w:spacing w:after="0"/>
        <w:tabs>
          <w:tab w:leader="none" w:pos="660" w:val="left"/>
        </w:tabs>
        <w:numPr>
          <w:ilvl w:val="0"/>
          <w:numId w:val="29"/>
        </w:numPr>
        <w:rPr>
          <w:rFonts w:ascii="Arial" w:cs="Arial" w:eastAsia="Arial" w:hAnsi="Arial"/>
          <w:sz w:val="22"/>
          <w:szCs w:val="22"/>
          <w:color w:val="40AEFF"/>
        </w:rPr>
      </w:pPr>
      <w:r>
        <w:rPr>
          <w:rFonts w:ascii="Arial" w:cs="Arial" w:eastAsia="Arial" w:hAnsi="Arial"/>
          <w:sz w:val="18"/>
          <w:szCs w:val="18"/>
          <w:color w:val="auto"/>
        </w:rPr>
        <w:t>Investment advisory revenues earned in Q1 2022 from subadvised funds, separate accounts, collective investment trusts and other</w:t>
      </w:r>
    </w:p>
    <w:p>
      <w:pPr>
        <w:spacing w:after="0" w:line="99" w:lineRule="exact"/>
        <w:rPr>
          <w:sz w:val="20"/>
          <w:szCs w:val="20"/>
          <w:color w:val="auto"/>
        </w:rPr>
      </w:pPr>
    </w:p>
    <w:p>
      <w:pPr>
        <w:ind w:left="660" w:right="80"/>
        <w:spacing w:after="0" w:line="360" w:lineRule="auto"/>
        <w:rPr>
          <w:sz w:val="20"/>
          <w:szCs w:val="20"/>
          <w:color w:val="auto"/>
        </w:rPr>
      </w:pPr>
      <w:r>
        <w:rPr>
          <w:rFonts w:ascii="Arial" w:cs="Arial" w:eastAsia="Arial" w:hAnsi="Arial"/>
          <w:sz w:val="18"/>
          <w:szCs w:val="18"/>
          <w:color w:val="auto"/>
        </w:rPr>
        <w:t>investment products were $685.6 million, an increase of 7.5% from Q1 2021. Average assets under management for these products increased 9.7% to $761.9 billion in Q1 2022 from</w:t>
      </w:r>
    </w:p>
    <w:p>
      <w:pPr>
        <w:ind w:left="660" w:right="580"/>
        <w:spacing w:after="0" w:line="396" w:lineRule="auto"/>
        <w:rPr>
          <w:sz w:val="20"/>
          <w:szCs w:val="20"/>
          <w:color w:val="auto"/>
        </w:rPr>
      </w:pPr>
      <w:r>
        <w:rPr>
          <w:rFonts w:ascii="Arial" w:cs="Arial" w:eastAsia="Arial" w:hAnsi="Arial"/>
          <w:sz w:val="18"/>
          <w:szCs w:val="18"/>
          <w:color w:val="auto"/>
        </w:rPr>
        <w:t>Q1 2021. A portion of the increase in these advisory revenues and related average assets under management is due to the acquisition of OHA at the end of 2021.</w:t>
      </w:r>
    </w:p>
    <w:p>
      <w:pPr>
        <w:spacing w:after="0" w:line="235" w:lineRule="exact"/>
        <w:rPr>
          <w:sz w:val="20"/>
          <w:szCs w:val="20"/>
          <w:color w:val="auto"/>
        </w:rPr>
      </w:pPr>
    </w:p>
    <w:p>
      <w:pPr>
        <w:ind w:left="660" w:right="20" w:hanging="328"/>
        <w:spacing w:after="0" w:line="357" w:lineRule="auto"/>
        <w:tabs>
          <w:tab w:leader="none" w:pos="656" w:val="left"/>
        </w:tabs>
        <w:numPr>
          <w:ilvl w:val="0"/>
          <w:numId w:val="30"/>
        </w:numPr>
        <w:rPr>
          <w:rFonts w:ascii="Arial" w:cs="Arial" w:eastAsia="Arial" w:hAnsi="Arial"/>
          <w:sz w:val="22"/>
          <w:szCs w:val="22"/>
          <w:color w:val="40AEFF"/>
        </w:rPr>
      </w:pPr>
      <w:r>
        <w:rPr>
          <w:rFonts w:ascii="Arial" w:cs="Arial" w:eastAsia="Arial" w:hAnsi="Arial"/>
          <w:sz w:val="18"/>
          <w:szCs w:val="18"/>
          <w:color w:val="auto"/>
        </w:rPr>
        <w:t>The investment advisory fee annualized effective fee rate of 43.2 basis points in Q1 2022 was down from 43.4 basis points earned in Q4 2021 and 45.4 basis points earned in Q1 2021. In comparison to Q1 2021, the annualized effective fee rate was primarily impacted by the July 2021 target date fee reductions and an asset mix shift to lower fee vehicles and asset classes within the complex over the last twelve months. These reductions were partially offset by the higher than average effective fee rate earned on the firm's alternative asset class. Over time, the firm's effective fee rate can be impacted by market or cash flow related shifts among asset and share classes, price changes in existing products, and asset level changes in products with tiered-fee structures.</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066" w:right="359" w:bottom="1440" w:gutter="0" w:footer="0" w:header="0"/>
        </w:sectPr>
      </w:pPr>
    </w:p>
    <w:bookmarkStart w:id="47" w:name="page48"/>
    <w:bookmarkEnd w:id="47"/>
    <w:p>
      <w:pPr>
        <w:ind w:left="660" w:right="260" w:hanging="328"/>
        <w:spacing w:after="0" w:line="354" w:lineRule="auto"/>
        <w:tabs>
          <w:tab w:leader="none" w:pos="656" w:val="left"/>
        </w:tabs>
        <w:numPr>
          <w:ilvl w:val="0"/>
          <w:numId w:val="31"/>
        </w:numPr>
        <w:rPr>
          <w:rFonts w:ascii="Arial" w:cs="Arial" w:eastAsia="Arial" w:hAnsi="Arial"/>
          <w:sz w:val="22"/>
          <w:szCs w:val="22"/>
          <w:color w:val="40AEFF"/>
        </w:rPr>
      </w:pPr>
      <w:r>
        <w:rPr>
          <w:rFonts w:ascii="Arial" w:cs="Arial" w:eastAsia="Arial" w:hAnsi="Arial"/>
          <w:sz w:val="18"/>
          <w:szCs w:val="18"/>
          <w:color w:val="auto"/>
        </w:rPr>
        <w:t>Administrative, distribution, and servicing fees in Q1 2022 were $156.5 million, an increase of 12.6% from Q1 2021. The increase was primarily attributable to higher transfer agent servicing activities provided to the T. Rowe Price mutual funds, partially offset by lower 12b-1 fees on the U.S. mutual funds.</w:t>
      </w:r>
    </w:p>
    <w:p>
      <w:pPr>
        <w:spacing w:after="0" w:line="258" w:lineRule="exact"/>
        <w:rPr>
          <w:rFonts w:ascii="Arial" w:cs="Arial" w:eastAsia="Arial" w:hAnsi="Arial"/>
          <w:sz w:val="22"/>
          <w:szCs w:val="22"/>
          <w:color w:val="40AEFF"/>
        </w:rPr>
      </w:pPr>
    </w:p>
    <w:p>
      <w:pPr>
        <w:ind w:left="660" w:right="200" w:hanging="328"/>
        <w:spacing w:after="0" w:line="354" w:lineRule="auto"/>
        <w:tabs>
          <w:tab w:leader="none" w:pos="656" w:val="left"/>
        </w:tabs>
        <w:numPr>
          <w:ilvl w:val="0"/>
          <w:numId w:val="31"/>
        </w:numPr>
        <w:rPr>
          <w:rFonts w:ascii="Arial" w:cs="Arial" w:eastAsia="Arial" w:hAnsi="Arial"/>
          <w:sz w:val="22"/>
          <w:szCs w:val="22"/>
          <w:color w:val="40AEFF"/>
        </w:rPr>
      </w:pPr>
      <w:r>
        <w:rPr>
          <w:rFonts w:ascii="Arial" w:cs="Arial" w:eastAsia="Arial" w:hAnsi="Arial"/>
          <w:sz w:val="18"/>
          <w:szCs w:val="18"/>
          <w:color w:val="auto"/>
        </w:rPr>
        <w:t>Capital allocation-based income in Q1 2022 was $44.4 million. This represents $57.6 million of the carried interest the firm earns from investments in affiliated private investment funds, partially offset by $13.2 million in non-cash amortization associated with the difference in the closing date fair value and carrying value of investments acquired as part of the OHA acquisition.</w:t>
      </w:r>
    </w:p>
    <w:p>
      <w:pPr>
        <w:spacing w:after="0" w:line="218" w:lineRule="exact"/>
        <w:rPr>
          <w:sz w:val="20"/>
          <w:szCs w:val="20"/>
          <w:color w:val="auto"/>
        </w:rPr>
      </w:pPr>
    </w:p>
    <w:p>
      <w:pPr>
        <w:spacing w:after="0" w:line="377"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in Q1 2022 were $985.6 million, an increase of 5.6% compared to Q1 2021. On a non-GAAP basis, the firm's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in Q1 2022 were $1,039.1 million, a 14.3% increase over Q1 2021. The firm's non-GAAP operating expenses exclude the impact of the supplemental savings plan, consolidated sponsored products, the remeasurement of the contingent consideration liability, amortization of certain acquisition-related assets, and other acquisition-related costs.</w:t>
      </w:r>
    </w:p>
    <w:p>
      <w:pPr>
        <w:spacing w:after="0" w:line="198" w:lineRule="exact"/>
        <w:rPr>
          <w:sz w:val="20"/>
          <w:szCs w:val="20"/>
          <w:color w:val="auto"/>
        </w:rPr>
      </w:pPr>
    </w:p>
    <w:p>
      <w:pPr>
        <w:ind w:right="120"/>
        <w:spacing w:after="0" w:line="373" w:lineRule="auto"/>
        <w:rPr>
          <w:sz w:val="20"/>
          <w:szCs w:val="20"/>
          <w:color w:val="auto"/>
        </w:rPr>
      </w:pPr>
      <w:r>
        <w:rPr>
          <w:rFonts w:ascii="Arial" w:cs="Arial" w:eastAsia="Arial" w:hAnsi="Arial"/>
          <w:sz w:val="18"/>
          <w:szCs w:val="18"/>
          <w:color w:val="auto"/>
        </w:rPr>
        <w:t>About half of the increase in the firm's non-GAAP operating expenses from Q1 2021 is due to the inclusion of OHA's operating expenses in Q1 2022 following the acquisition at the end of 2021. OHA's operating expenses primarily impact compensation expense; technology, occupancy, and facility costs; and general, administrative and other costs. The remaining increase is primarily attributable to higher costs for technology development and core operations provided by FIS since August 2021 for the firm's full-service recordkeeping offering and higher costs related to the ongoing investment in the firm's technology capabilities.</w:t>
      </w:r>
    </w:p>
    <w:p>
      <w:pPr>
        <w:spacing w:after="0" w:line="241" w:lineRule="exact"/>
        <w:rPr>
          <w:sz w:val="20"/>
          <w:szCs w:val="20"/>
          <w:color w:val="auto"/>
        </w:rPr>
      </w:pPr>
    </w:p>
    <w:p>
      <w:pPr>
        <w:ind w:left="660" w:right="220" w:hanging="328"/>
        <w:spacing w:after="0" w:line="348" w:lineRule="auto"/>
        <w:tabs>
          <w:tab w:leader="none" w:pos="656" w:val="left"/>
        </w:tabs>
        <w:numPr>
          <w:ilvl w:val="0"/>
          <w:numId w:val="32"/>
        </w:numPr>
        <w:rPr>
          <w:rFonts w:ascii="Arial" w:cs="Arial" w:eastAsia="Arial" w:hAnsi="Arial"/>
          <w:sz w:val="22"/>
          <w:szCs w:val="22"/>
          <w:color w:val="40AEFF"/>
        </w:rPr>
      </w:pPr>
      <w:r>
        <w:rPr>
          <w:rFonts w:ascii="Arial" w:cs="Arial" w:eastAsia="Arial" w:hAnsi="Arial"/>
          <w:sz w:val="18"/>
          <w:szCs w:val="18"/>
          <w:b w:val="1"/>
          <w:bCs w:val="1"/>
          <w:color w:val="auto"/>
        </w:rPr>
        <w:t xml:space="preserve">Compensation and related costs </w:t>
      </w:r>
      <w:r>
        <w:rPr>
          <w:rFonts w:ascii="Arial" w:cs="Arial" w:eastAsia="Arial" w:hAnsi="Arial"/>
          <w:sz w:val="18"/>
          <w:szCs w:val="18"/>
          <w:color w:val="auto"/>
        </w:rPr>
        <w:t>on a GAAP basis were $581.6 million in Q1 2022, a slight decrease of .3%, compared to Q1</w:t>
      </w:r>
      <w:r>
        <w:rPr>
          <w:rFonts w:ascii="Arial" w:cs="Arial" w:eastAsia="Arial" w:hAnsi="Arial"/>
          <w:sz w:val="18"/>
          <w:szCs w:val="18"/>
          <w:b w:val="1"/>
          <w:bCs w:val="1"/>
          <w:color w:val="auto"/>
        </w:rPr>
        <w:t xml:space="preserve"> </w:t>
      </w:r>
      <w:r>
        <w:rPr>
          <w:rFonts w:ascii="Arial" w:cs="Arial" w:eastAsia="Arial" w:hAnsi="Arial"/>
          <w:sz w:val="18"/>
          <w:szCs w:val="18"/>
          <w:color w:val="auto"/>
        </w:rPr>
        <w:t>2021. Compensation and related costs, excluding the impact of the supplemental savings plan, were $632.6 million in Q1 2022, an increase of 12.7% compared to Q1 2021. The first quarter of 2022 includes compensation costs related to OHA, carried interest-related compensation, and</w:t>
      </w:r>
    </w:p>
    <w:p>
      <w:pPr>
        <w:spacing w:after="0" w:line="1" w:lineRule="exact"/>
        <w:rPr>
          <w:rFonts w:ascii="Arial" w:cs="Arial" w:eastAsia="Arial" w:hAnsi="Arial"/>
          <w:sz w:val="22"/>
          <w:szCs w:val="22"/>
          <w:color w:val="40AEFF"/>
        </w:rPr>
      </w:pPr>
    </w:p>
    <w:p>
      <w:pPr>
        <w:ind w:left="660" w:right="160"/>
        <w:spacing w:after="0" w:line="412" w:lineRule="auto"/>
        <w:rPr>
          <w:rFonts w:ascii="Arial" w:cs="Arial" w:eastAsia="Arial" w:hAnsi="Arial"/>
          <w:sz w:val="22"/>
          <w:szCs w:val="22"/>
          <w:color w:val="40AEFF"/>
        </w:rPr>
      </w:pPr>
      <w:r>
        <w:rPr>
          <w:rFonts w:ascii="Arial" w:cs="Arial" w:eastAsia="Arial" w:hAnsi="Arial"/>
          <w:sz w:val="18"/>
          <w:szCs w:val="18"/>
          <w:color w:val="auto"/>
        </w:rPr>
        <w:t>$13.6 million in non-cash amortization of certain acquisition-related retention arrangements. The firm employed 7,573 associates at March 31, 2022, an increase of .6% from the end of 2021.</w:t>
      </w:r>
    </w:p>
    <w:p>
      <w:pPr>
        <w:spacing w:after="0" w:line="207" w:lineRule="exact"/>
        <w:rPr>
          <w:rFonts w:ascii="Arial" w:cs="Arial" w:eastAsia="Arial" w:hAnsi="Arial"/>
          <w:sz w:val="22"/>
          <w:szCs w:val="22"/>
          <w:color w:val="40AEFF"/>
        </w:rPr>
      </w:pPr>
    </w:p>
    <w:p>
      <w:pPr>
        <w:ind w:left="660" w:hanging="328"/>
        <w:spacing w:after="0" w:line="357" w:lineRule="auto"/>
        <w:tabs>
          <w:tab w:leader="none" w:pos="656" w:val="left"/>
        </w:tabs>
        <w:numPr>
          <w:ilvl w:val="0"/>
          <w:numId w:val="32"/>
        </w:numPr>
        <w:rPr>
          <w:rFonts w:ascii="Arial" w:cs="Arial" w:eastAsia="Arial" w:hAnsi="Arial"/>
          <w:sz w:val="22"/>
          <w:szCs w:val="22"/>
          <w:color w:val="40AEFF"/>
        </w:rPr>
      </w:pPr>
      <w:r>
        <w:rPr>
          <w:rFonts w:ascii="Arial" w:cs="Arial" w:eastAsia="Arial" w:hAnsi="Arial"/>
          <w:sz w:val="18"/>
          <w:szCs w:val="18"/>
          <w:b w:val="1"/>
          <w:bCs w:val="1"/>
          <w:color w:val="auto"/>
        </w:rPr>
        <w:t xml:space="preserve">Distribution and servicing costs </w:t>
      </w:r>
      <w:r>
        <w:rPr>
          <w:rFonts w:ascii="Arial" w:cs="Arial" w:eastAsia="Arial" w:hAnsi="Arial"/>
          <w:sz w:val="18"/>
          <w:szCs w:val="18"/>
          <w:color w:val="auto"/>
        </w:rPr>
        <w:t>were $85.9 million in Q1 2022, an increase of .4% from the $85.6 million recognized in Q1 2021.</w:t>
      </w:r>
      <w:r>
        <w:rPr>
          <w:rFonts w:ascii="Arial" w:cs="Arial" w:eastAsia="Arial" w:hAnsi="Arial"/>
          <w:sz w:val="18"/>
          <w:szCs w:val="18"/>
          <w:b w:val="1"/>
          <w:bCs w:val="1"/>
          <w:color w:val="auto"/>
        </w:rPr>
        <w:t xml:space="preserve"> </w:t>
      </w:r>
      <w:r>
        <w:rPr>
          <w:rFonts w:ascii="Arial" w:cs="Arial" w:eastAsia="Arial" w:hAnsi="Arial"/>
          <w:sz w:val="18"/>
          <w:szCs w:val="18"/>
          <w:color w:val="auto"/>
        </w:rPr>
        <w:t>The slight increase was primarily driven by higher costs incurred to distribute certain products through U.S. intermediaries and higher AUM-based distribution costs in the firm's international products, including the Japanese Investment Trusts (ITMs) and certain SICAV share classes. These distribution costs, like those related to certain shares classes of the U.S. mutual funds, are offset entirely in net revenues. For the ITMs and SICAVs, the related revenue is recognized in investment advisory revenues. Partially offsetting these increases were lower 12b-1 fees due to lower average assets under management in the U.S. mutual funds.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106" w:right="339" w:bottom="1440" w:gutter="0" w:footer="0" w:header="0"/>
        </w:sectPr>
      </w:pPr>
    </w:p>
    <w:bookmarkStart w:id="48" w:name="page49"/>
    <w:bookmarkEnd w:id="48"/>
    <w:p>
      <w:pPr>
        <w:ind w:left="660" w:right="540" w:hanging="328"/>
        <w:spacing w:after="0" w:line="374" w:lineRule="auto"/>
        <w:tabs>
          <w:tab w:leader="none" w:pos="656" w:val="left"/>
        </w:tabs>
        <w:numPr>
          <w:ilvl w:val="0"/>
          <w:numId w:val="33"/>
        </w:numPr>
        <w:rPr>
          <w:rFonts w:ascii="Arial" w:cs="Arial" w:eastAsia="Arial" w:hAnsi="Arial"/>
          <w:sz w:val="22"/>
          <w:szCs w:val="22"/>
          <w:color w:val="40AEFF"/>
        </w:rPr>
      </w:pPr>
      <w:r>
        <w:rPr>
          <w:rFonts w:ascii="Arial" w:cs="Arial" w:eastAsia="Arial" w:hAnsi="Arial"/>
          <w:sz w:val="18"/>
          <w:szCs w:val="18"/>
          <w:b w:val="1"/>
          <w:bCs w:val="1"/>
          <w:color w:val="auto"/>
        </w:rPr>
        <w:t xml:space="preserve">Advertising and promotion expenses </w:t>
      </w:r>
      <w:r>
        <w:rPr>
          <w:rFonts w:ascii="Arial" w:cs="Arial" w:eastAsia="Arial" w:hAnsi="Arial"/>
          <w:sz w:val="18"/>
          <w:szCs w:val="18"/>
          <w:color w:val="auto"/>
        </w:rPr>
        <w:t>were $23.4 million in Q1 2022, an increase of 23.8% from Q1 2021. The increase was</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driven by increased media spend as well as advertising development costs during the quarter.</w:t>
      </w:r>
    </w:p>
    <w:p>
      <w:pPr>
        <w:spacing w:after="0" w:line="214" w:lineRule="exact"/>
        <w:rPr>
          <w:rFonts w:ascii="Arial" w:cs="Arial" w:eastAsia="Arial" w:hAnsi="Arial"/>
          <w:sz w:val="22"/>
          <w:szCs w:val="22"/>
          <w:color w:val="40AEFF"/>
        </w:rPr>
      </w:pPr>
    </w:p>
    <w:p>
      <w:pPr>
        <w:ind w:left="660" w:right="120" w:hanging="328"/>
        <w:spacing w:after="0" w:line="354" w:lineRule="auto"/>
        <w:tabs>
          <w:tab w:leader="none" w:pos="656" w:val="left"/>
        </w:tabs>
        <w:numPr>
          <w:ilvl w:val="0"/>
          <w:numId w:val="33"/>
        </w:numPr>
        <w:rPr>
          <w:rFonts w:ascii="Arial" w:cs="Arial" w:eastAsia="Arial" w:hAnsi="Arial"/>
          <w:sz w:val="22"/>
          <w:szCs w:val="22"/>
          <w:color w:val="40AEFF"/>
        </w:rPr>
      </w:pPr>
      <w:r>
        <w:rPr>
          <w:rFonts w:ascii="Arial" w:cs="Arial" w:eastAsia="Arial" w:hAnsi="Arial"/>
          <w:sz w:val="18"/>
          <w:szCs w:val="18"/>
          <w:b w:val="1"/>
          <w:bCs w:val="1"/>
          <w:color w:val="auto"/>
        </w:rPr>
        <w:t xml:space="preserve">Product and recordkeeping related expenses </w:t>
      </w:r>
      <w:r>
        <w:rPr>
          <w:rFonts w:ascii="Arial" w:cs="Arial" w:eastAsia="Arial" w:hAnsi="Arial"/>
          <w:sz w:val="18"/>
          <w:szCs w:val="18"/>
          <w:color w:val="auto"/>
        </w:rPr>
        <w:t>were $80.4 million in Q1 2022, an increase of 96.1% from Q1 2021. Approximately</w:t>
      </w:r>
      <w:r>
        <w:rPr>
          <w:rFonts w:ascii="Arial" w:cs="Arial" w:eastAsia="Arial" w:hAnsi="Arial"/>
          <w:sz w:val="18"/>
          <w:szCs w:val="18"/>
          <w:b w:val="1"/>
          <w:bCs w:val="1"/>
          <w:color w:val="auto"/>
        </w:rPr>
        <w:t xml:space="preserve"> </w:t>
      </w:r>
      <w:r>
        <w:rPr>
          <w:rFonts w:ascii="Arial" w:cs="Arial" w:eastAsia="Arial" w:hAnsi="Arial"/>
          <w:sz w:val="18"/>
          <w:szCs w:val="18"/>
          <w:color w:val="auto"/>
        </w:rPr>
        <w:t>80% of the increase was driven by the recordkeeping costs incurred as part of the expanded FIS relationship that began in August 2021.</w:t>
      </w:r>
    </w:p>
    <w:p>
      <w:pPr>
        <w:spacing w:after="0" w:line="258" w:lineRule="exact"/>
        <w:rPr>
          <w:rFonts w:ascii="Arial" w:cs="Arial" w:eastAsia="Arial" w:hAnsi="Arial"/>
          <w:sz w:val="22"/>
          <w:szCs w:val="22"/>
          <w:color w:val="40AEFF"/>
        </w:rPr>
      </w:pPr>
    </w:p>
    <w:p>
      <w:pPr>
        <w:ind w:left="660" w:right="40" w:hanging="328"/>
        <w:spacing w:after="0" w:line="354" w:lineRule="auto"/>
        <w:tabs>
          <w:tab w:leader="none" w:pos="656" w:val="left"/>
        </w:tabs>
        <w:numPr>
          <w:ilvl w:val="0"/>
          <w:numId w:val="33"/>
        </w:numPr>
        <w:rPr>
          <w:rFonts w:ascii="Arial" w:cs="Arial" w:eastAsia="Arial" w:hAnsi="Arial"/>
          <w:sz w:val="22"/>
          <w:szCs w:val="22"/>
          <w:color w:val="40AEFF"/>
        </w:rPr>
      </w:pPr>
      <w:r>
        <w:rPr>
          <w:rFonts w:ascii="Arial" w:cs="Arial" w:eastAsia="Arial" w:hAnsi="Arial"/>
          <w:sz w:val="18"/>
          <w:szCs w:val="18"/>
          <w:b w:val="1"/>
          <w:bCs w:val="1"/>
          <w:color w:val="auto"/>
        </w:rPr>
        <w:t xml:space="preserve">Technology, occupancy, and facility costs </w:t>
      </w:r>
      <w:r>
        <w:rPr>
          <w:rFonts w:ascii="Arial" w:cs="Arial" w:eastAsia="Arial" w:hAnsi="Arial"/>
          <w:sz w:val="18"/>
          <w:szCs w:val="18"/>
          <w:color w:val="auto"/>
        </w:rPr>
        <w:t>were $133.9 million in Q1 2022, an increase of 14.2% from Q1 2021. The increase was</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due to the ongoing investment in the firm's technology capabilities, including hosted solution licenses, related depreciation, and office facility costs.</w:t>
      </w:r>
    </w:p>
    <w:p>
      <w:pPr>
        <w:spacing w:after="0" w:line="258" w:lineRule="exact"/>
        <w:rPr>
          <w:rFonts w:ascii="Arial" w:cs="Arial" w:eastAsia="Arial" w:hAnsi="Arial"/>
          <w:sz w:val="22"/>
          <w:szCs w:val="22"/>
          <w:color w:val="40AEFF"/>
        </w:rPr>
      </w:pPr>
    </w:p>
    <w:p>
      <w:pPr>
        <w:ind w:left="660" w:right="280" w:hanging="328"/>
        <w:spacing w:after="0" w:line="360" w:lineRule="auto"/>
        <w:tabs>
          <w:tab w:leader="none" w:pos="656" w:val="left"/>
        </w:tabs>
        <w:numPr>
          <w:ilvl w:val="0"/>
          <w:numId w:val="33"/>
        </w:numPr>
        <w:rPr>
          <w:rFonts w:ascii="Arial" w:cs="Arial" w:eastAsia="Arial" w:hAnsi="Arial"/>
          <w:sz w:val="22"/>
          <w:szCs w:val="22"/>
          <w:color w:val="40AEFF"/>
        </w:rPr>
      </w:pPr>
      <w:r>
        <w:rPr>
          <w:rFonts w:ascii="Arial" w:cs="Arial" w:eastAsia="Arial" w:hAnsi="Arial"/>
          <w:sz w:val="18"/>
          <w:szCs w:val="18"/>
          <w:b w:val="1"/>
          <w:bCs w:val="1"/>
          <w:color w:val="auto"/>
        </w:rPr>
        <w:t xml:space="preserve">General, administrative, and other costs </w:t>
      </w:r>
      <w:r>
        <w:rPr>
          <w:rFonts w:ascii="Arial" w:cs="Arial" w:eastAsia="Arial" w:hAnsi="Arial"/>
          <w:sz w:val="18"/>
          <w:szCs w:val="18"/>
          <w:color w:val="auto"/>
        </w:rPr>
        <w:t>were $80.4 million in Q1 2022, a decrease of 7.9% compared with the $87.3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in Q1 2021. The decrease was primarily related to the favorable impact of the change in fair value of the contingent consideration liability, partially offset by $27.1 million in acquisition-related amortization and other acquisition-related costs. Higher information services, external research, travel and other nonrecurring administrative costs further offset the decrease in Q1 2022 costs as compared to Q1 2021.</w:t>
      </w:r>
    </w:p>
    <w:p>
      <w:pPr>
        <w:spacing w:after="0" w:line="215" w:lineRule="exact"/>
        <w:rPr>
          <w:sz w:val="20"/>
          <w:szCs w:val="20"/>
          <w:color w:val="auto"/>
        </w:rPr>
      </w:pPr>
    </w:p>
    <w:p>
      <w:pPr>
        <w:spacing w:after="0" w:line="378" w:lineRule="auto"/>
        <w:rPr>
          <w:sz w:val="20"/>
          <w:szCs w:val="20"/>
          <w:color w:val="auto"/>
        </w:rPr>
      </w:pPr>
      <w:r>
        <w:rPr>
          <w:rFonts w:ascii="Arial" w:cs="Arial" w:eastAsia="Arial" w:hAnsi="Arial"/>
          <w:sz w:val="18"/>
          <w:szCs w:val="18"/>
          <w:color w:val="auto"/>
        </w:rPr>
        <w:t>The firm updated its forecasted 2022 non-GAAP operating expenses, including a full-year of OHA's operating expenses, from a range of 12% to 16% to a range of 10% to 14% to reflect lower market-related expenses and a slower pace of net hiring experienced in the quarter. The firm could elect to further adjust its expense growth should unforeseen circumstances arise, including significant market movements.</w:t>
      </w:r>
    </w:p>
    <w:p>
      <w:pPr>
        <w:spacing w:after="0" w:line="210" w:lineRule="exact"/>
        <w:rPr>
          <w:sz w:val="20"/>
          <w:szCs w:val="20"/>
          <w:color w:val="auto"/>
        </w:rPr>
      </w:pPr>
    </w:p>
    <w:p>
      <w:pPr>
        <w:ind w:right="40"/>
        <w:spacing w:after="0" w:line="372" w:lineRule="auto"/>
        <w:rPr>
          <w:sz w:val="20"/>
          <w:szCs w:val="20"/>
          <w:color w:val="auto"/>
        </w:rPr>
      </w:pPr>
      <w:r>
        <w:rPr>
          <w:rFonts w:ascii="Arial" w:cs="Arial" w:eastAsia="Arial" w:hAnsi="Arial"/>
          <w:sz w:val="18"/>
          <w:szCs w:val="18"/>
          <w:b w:val="1"/>
          <w:bCs w:val="1"/>
          <w:color w:val="auto"/>
        </w:rPr>
        <w:t xml:space="preserve">Non-operating income (loss). </w:t>
      </w:r>
      <w:r>
        <w:rPr>
          <w:rFonts w:ascii="Arial" w:cs="Arial" w:eastAsia="Arial" w:hAnsi="Arial"/>
          <w:sz w:val="18"/>
          <w:szCs w:val="18"/>
          <w:color w:val="auto"/>
        </w:rPr>
        <w:t>Non-operating loss was $198.5 million in Q1 2022, as compared to non-operating income of $102.1 million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Q1 2021. The firm's consolidated products and the supplemental savings plan hedge portfolio comprised nearly 80% of the net losses recognized during Q1 2022. The cash and discretionary investment portfolio also experienced net investment losses of $23.8 million during Q1 2022. The components of non-operating income (loss) for Q1 2022 and Q1 2021 are included in the tables at the end of this release.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349" w:right="339" w:bottom="1440" w:gutter="0" w:footer="0" w:header="0"/>
        </w:sectPr>
      </w:pPr>
    </w:p>
    <w:bookmarkStart w:id="49" w:name="page50"/>
    <w:bookmarkEnd w:id="49"/>
    <w:p>
      <w:pPr>
        <w:ind w:right="280"/>
        <w:spacing w:after="0" w:line="396"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following reconciles the statutory federal income tax rate to the firm's effective tax rate for the first quarter of 2022 and</w:t>
      </w:r>
      <w:r>
        <w:rPr>
          <w:rFonts w:ascii="Arial" w:cs="Arial" w:eastAsia="Arial" w:hAnsi="Arial"/>
          <w:sz w:val="18"/>
          <w:szCs w:val="18"/>
          <w:b w:val="1"/>
          <w:bCs w:val="1"/>
          <w:color w:val="auto"/>
        </w:rPr>
        <w:t xml:space="preserve"> </w:t>
      </w:r>
      <w:r>
        <w:rPr>
          <w:rFonts w:ascii="Arial" w:cs="Arial" w:eastAsia="Arial" w:hAnsi="Arial"/>
          <w:sz w:val="18"/>
          <w:szCs w:val="18"/>
          <w:color w:val="auto"/>
        </w:rPr>
        <w:t>2021: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shd w:val="clear" w:color="auto" w:fill="CCEEFF"/>
          </w:tcPr>
          <w:p>
            <w:pPr>
              <w:spacing w:after="0"/>
              <w:rPr>
                <w:sz w:val="17"/>
                <w:szCs w:val="17"/>
                <w:color w:val="auto"/>
              </w:rPr>
            </w:pPr>
          </w:p>
        </w:tc>
        <w:tc>
          <w:tcPr>
            <w:tcW w:w="3000" w:type="dxa"/>
            <w:vAlign w:val="bottom"/>
            <w:tcBorders>
              <w:bottom w:val="single" w:sz="8" w:color="auto"/>
            </w:tcBorders>
            <w:gridSpan w:val="3"/>
            <w:shd w:val="clear" w:color="auto" w:fill="CCEEFF"/>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24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3/31/2022</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3/31/2021</w:t>
            </w:r>
          </w:p>
        </w:tc>
      </w:tr>
      <w:tr>
        <w:trPr>
          <w:trHeight w:val="211"/>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Statutory U.S. federal income tax rate</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6"/>
        </w:trPr>
        <w:tc>
          <w:tcPr>
            <w:tcW w:w="8240" w:type="dxa"/>
            <w:vAlign w:val="bottom"/>
          </w:tcPr>
          <w:p>
            <w:pPr>
              <w:ind w:left="20"/>
              <w:spacing w:after="0" w:line="216" w:lineRule="exact"/>
              <w:rPr>
                <w:sz w:val="20"/>
                <w:szCs w:val="20"/>
                <w:color w:val="auto"/>
              </w:rPr>
            </w:pPr>
            <w:r>
              <w:rPr>
                <w:rFonts w:ascii="Arial" w:cs="Arial" w:eastAsia="Arial" w:hAnsi="Arial"/>
                <w:sz w:val="16"/>
                <w:szCs w:val="16"/>
                <w:color w:val="auto"/>
              </w:rPr>
              <w:t>State income taxes for current year, net of federal income tax benefits</w:t>
            </w:r>
            <w:r>
              <w:rPr>
                <w:rFonts w:ascii="Arial" w:cs="Arial" w:eastAsia="Arial" w:hAnsi="Arial"/>
                <w:sz w:val="21"/>
                <w:szCs w:val="21"/>
                <w:color w:val="auto"/>
                <w:vertAlign w:val="superscript"/>
              </w:rPr>
              <w:t>(1)</w:t>
            </w:r>
          </w:p>
        </w:tc>
        <w:tc>
          <w:tcPr>
            <w:tcW w:w="1440" w:type="dxa"/>
            <w:vAlign w:val="bottom"/>
          </w:tcPr>
          <w:p>
            <w:pPr>
              <w:jc w:val="right"/>
              <w:ind w:right="121"/>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1440" w:type="dxa"/>
            <w:vAlign w:val="bottom"/>
          </w:tcPr>
          <w:p>
            <w:pPr>
              <w:jc w:val="right"/>
              <w:ind w:right="120"/>
              <w:spacing w:after="0"/>
              <w:rPr>
                <w:sz w:val="20"/>
                <w:szCs w:val="20"/>
                <w:color w:val="auto"/>
              </w:rPr>
            </w:pPr>
            <w:r>
              <w:rPr>
                <w:rFonts w:ascii="Arial" w:cs="Arial" w:eastAsia="Arial" w:hAnsi="Arial"/>
                <w:sz w:val="16"/>
                <w:szCs w:val="16"/>
                <w:color w:val="auto"/>
              </w:rPr>
              <w:t>3.8</w:t>
            </w:r>
          </w:p>
        </w:tc>
      </w:tr>
      <w:tr>
        <w:trPr>
          <w:trHeight w:val="216"/>
        </w:trPr>
        <w:tc>
          <w:tcPr>
            <w:tcW w:w="82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Net (income) losses attributable to redeemable non-controlling interests</w:t>
            </w:r>
            <w:r>
              <w:rPr>
                <w:rFonts w:ascii="Arial" w:cs="Arial" w:eastAsia="Arial" w:hAnsi="Arial"/>
                <w:sz w:val="21"/>
                <w:szCs w:val="21"/>
                <w:color w:val="auto"/>
                <w:vertAlign w:val="superscript"/>
              </w:rPr>
              <w:t>(2)</w:t>
            </w:r>
          </w:p>
        </w:tc>
        <w:tc>
          <w:tcPr>
            <w:tcW w:w="14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w:t>
            </w: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Net excess tax benefits from stock-based compensation plans activity</w:t>
            </w:r>
          </w:p>
        </w:tc>
        <w:tc>
          <w:tcPr>
            <w:tcW w:w="1440" w:type="dxa"/>
            <w:vAlign w:val="bottom"/>
          </w:tcPr>
          <w:p>
            <w:pPr>
              <w:jc w:val="right"/>
              <w:ind w:right="81"/>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440" w:type="dxa"/>
            <w:vAlign w:val="bottom"/>
          </w:tcPr>
          <w:p>
            <w:pPr>
              <w:jc w:val="right"/>
              <w:ind w:right="80"/>
              <w:spacing w:after="0"/>
              <w:rPr>
                <w:sz w:val="20"/>
                <w:szCs w:val="20"/>
                <w:color w:val="auto"/>
              </w:rPr>
            </w:pPr>
            <w:r>
              <w:rPr>
                <w:rFonts w:ascii="Arial" w:cs="Arial" w:eastAsia="Arial" w:hAnsi="Arial"/>
                <w:sz w:val="16"/>
                <w:szCs w:val="16"/>
                <w:color w:val="auto"/>
              </w:rPr>
              <w:t>(1.2)</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items</w:t>
            </w:r>
          </w:p>
        </w:tc>
        <w:tc>
          <w:tcPr>
            <w:tcW w:w="14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Effective income tax rate</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24.2 %</w:t>
            </w:r>
          </w:p>
        </w:tc>
        <w:tc>
          <w:tcPr>
            <w:tcW w:w="1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23.2 %</w:t>
            </w:r>
          </w:p>
        </w:tc>
      </w:tr>
      <w:tr>
        <w:trPr>
          <w:trHeight w:val="21"/>
        </w:trPr>
        <w:tc>
          <w:tcPr>
            <w:tcW w:w="82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ind w:left="140" w:hanging="132"/>
        <w:spacing w:after="0"/>
        <w:tabs>
          <w:tab w:leader="none" w:pos="140" w:val="left"/>
        </w:tabs>
        <w:numPr>
          <w:ilvl w:val="0"/>
          <w:numId w:val="34"/>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State income tax benefits are reflected in the total benefits for net income attributable to redeemable non-controlling interests and stock-based compensation plans activity.</w:t>
      </w:r>
    </w:p>
    <w:p>
      <w:pPr>
        <w:ind w:left="140" w:hanging="132"/>
        <w:spacing w:after="0"/>
        <w:tabs>
          <w:tab w:leader="none" w:pos="140" w:val="left"/>
        </w:tabs>
        <w:numPr>
          <w:ilvl w:val="0"/>
          <w:numId w:val="34"/>
        </w:numPr>
        <w:rPr>
          <w:rFonts w:ascii="Arial" w:cs="Arial" w:eastAsia="Arial" w:hAnsi="Arial"/>
          <w:sz w:val="9"/>
          <w:szCs w:val="9"/>
          <w:i w:val="1"/>
          <w:iCs w:val="1"/>
          <w:color w:val="auto"/>
        </w:rPr>
      </w:pPr>
      <w:r>
        <w:rPr>
          <w:rFonts w:ascii="Arial" w:cs="Arial" w:eastAsia="Arial" w:hAnsi="Arial"/>
          <w:sz w:val="14"/>
          <w:szCs w:val="14"/>
          <w:i w:val="1"/>
          <w:iCs w:val="1"/>
          <w:color w:val="auto"/>
        </w:rPr>
        <w:t>Net income attributable to redeemable non-controlling interest represents the portion of earnings held in the firm's consolidated investment products, which are not taxable to</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the firm despite being included in pre-tax income.</w:t>
      </w:r>
    </w:p>
    <w:p>
      <w:pPr>
        <w:spacing w:after="0" w:line="288" w:lineRule="exact"/>
        <w:rPr>
          <w:sz w:val="20"/>
          <w:szCs w:val="20"/>
          <w:color w:val="auto"/>
        </w:rPr>
      </w:pPr>
    </w:p>
    <w:p>
      <w:pPr>
        <w:ind w:right="180"/>
        <w:spacing w:after="0" w:line="373" w:lineRule="auto"/>
        <w:rPr>
          <w:sz w:val="20"/>
          <w:szCs w:val="20"/>
          <w:color w:val="auto"/>
        </w:rPr>
      </w:pPr>
      <w:r>
        <w:rPr>
          <w:rFonts w:ascii="Arial" w:cs="Arial" w:eastAsia="Arial" w:hAnsi="Arial"/>
          <w:sz w:val="18"/>
          <w:szCs w:val="18"/>
          <w:color w:val="auto"/>
        </w:rPr>
        <w:t>The firm's non-GAAP tax rate primarily adjusts for the impact of the consolidated investment products, including the net income attributable to redeemable non-controlling interests. The firm's non-GAAP effective tax rate was 24.2% for Q1 2022 compared with 23.7% for Q1 2021. The increase in the non-GAAP tax rate is primarily attributable to lower discrete tax benefits associated with stock-based awards compared with Q1 2021. The firm's Q1 2022 state tax rate continues to be favorably impacted by the final year of the phase-in benefit of the 2018 Maryland state tax legislation.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firm estimates that its effective tax rate for the full year 2022, on a GAAP basis, will be in the range of 22.0% to 25.0%.</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Management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 Rowe Price has ample liquidity, including cash and investments in T. Rowe Price products as follows: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8400" w:type="dxa"/>
            <w:vAlign w:val="bottom"/>
            <w:shd w:val="clear" w:color="auto" w:fill="CCEEFF"/>
          </w:tcPr>
          <w:p>
            <w:pPr>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3/31/2022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4"/>
                <w:szCs w:val="14"/>
                <w:b w:val="1"/>
                <w:bCs w:val="1"/>
                <w:color w:val="auto"/>
              </w:rPr>
              <w:t>12/31/2021</w:t>
            </w:r>
          </w:p>
        </w:tc>
      </w:tr>
      <w:tr>
        <w:trPr>
          <w:trHeight w:val="223"/>
        </w:trPr>
        <w:tc>
          <w:tcPr>
            <w:tcW w:w="84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1,997.5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1,523.1</w:t>
            </w:r>
          </w:p>
        </w:tc>
      </w:tr>
      <w:tr>
        <w:trPr>
          <w:trHeight w:val="229"/>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Discretionary investments</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554.1</w:t>
            </w:r>
          </w:p>
        </w:tc>
      </w:tr>
      <w:tr>
        <w:trPr>
          <w:trHeight w:val="223"/>
        </w:trPr>
        <w:tc>
          <w:tcPr>
            <w:tcW w:w="8400" w:type="dxa"/>
            <w:vAlign w:val="bottom"/>
          </w:tcPr>
          <w:p>
            <w:pPr>
              <w:spacing w:after="0"/>
              <w:rPr>
                <w:sz w:val="20"/>
                <w:szCs w:val="20"/>
                <w:color w:val="auto"/>
              </w:rPr>
            </w:pPr>
            <w:r>
              <w:rPr>
                <w:rFonts w:ascii="Arial" w:cs="Arial" w:eastAsia="Arial" w:hAnsi="Arial"/>
                <w:sz w:val="16"/>
                <w:szCs w:val="16"/>
                <w:color w:val="auto"/>
              </w:rPr>
              <w:t>Total cash and discretionary investments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2,573.6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2,077.2</w:t>
            </w:r>
          </w:p>
        </w:tc>
      </w:tr>
      <w:tr>
        <w:trPr>
          <w:trHeight w:val="229"/>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Redeemable seed capital investments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1,300.1</w:t>
            </w:r>
          </w:p>
        </w:tc>
      </w:tr>
      <w:tr>
        <w:trPr>
          <w:trHeight w:val="230"/>
        </w:trPr>
        <w:tc>
          <w:tcPr>
            <w:tcW w:w="84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Investments used to hedge the supplemental savings plan liability</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881.5</w:t>
            </w:r>
          </w:p>
        </w:tc>
      </w:tr>
      <w:tr>
        <w:trPr>
          <w:trHeight w:val="248"/>
        </w:trPr>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cash and investments in T. Rowe Price products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4,258.8</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99"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22"/>
          <w:szCs w:val="22"/>
          <w:color w:val="40AEFF"/>
        </w:rPr>
      </w:pPr>
      <w:r>
        <w:rPr>
          <w:rFonts w:ascii="Arial" w:cs="Arial" w:eastAsia="Arial" w:hAnsi="Arial"/>
          <w:sz w:val="18"/>
          <w:szCs w:val="18"/>
          <w:color w:val="auto"/>
        </w:rPr>
        <w:t>The firm's common shares outstanding were 227.3 million at March 31, 2022, compared with 229.2 million at the end of 2021.</w:t>
      </w:r>
    </w:p>
    <w:p>
      <w:pPr>
        <w:spacing w:after="0" w:line="139" w:lineRule="exact"/>
        <w:rPr>
          <w:rFonts w:ascii="Arial" w:cs="Arial" w:eastAsia="Arial" w:hAnsi="Arial"/>
          <w:sz w:val="22"/>
          <w:szCs w:val="22"/>
          <w:color w:val="40AEFF"/>
        </w:rPr>
      </w:pPr>
    </w:p>
    <w:p>
      <w:pPr>
        <w:ind w:left="340" w:right="160" w:hanging="332"/>
        <w:spacing w:after="0" w:line="341" w:lineRule="auto"/>
        <w:tabs>
          <w:tab w:leader="none" w:pos="336" w:val="left"/>
        </w:tabs>
        <w:numPr>
          <w:ilvl w:val="0"/>
          <w:numId w:val="35"/>
        </w:numPr>
        <w:rPr>
          <w:rFonts w:ascii="Arial" w:cs="Arial" w:eastAsia="Arial" w:hAnsi="Arial"/>
          <w:sz w:val="22"/>
          <w:szCs w:val="22"/>
          <w:color w:val="40AEFF"/>
        </w:rPr>
      </w:pPr>
      <w:r>
        <w:rPr>
          <w:rFonts w:ascii="Arial" w:cs="Arial" w:eastAsia="Arial" w:hAnsi="Arial"/>
          <w:sz w:val="18"/>
          <w:szCs w:val="18"/>
          <w:color w:val="auto"/>
        </w:rPr>
        <w:t>In Q1 2022, the firm expended $320.1 million to repurchase 2.1 million shares, or .9%, of its outstanding common shares at an average price of $151.97.</w:t>
      </w:r>
    </w:p>
    <w:p>
      <w:pPr>
        <w:spacing w:after="0" w:line="34" w:lineRule="exact"/>
        <w:rPr>
          <w:rFonts w:ascii="Arial" w:cs="Arial" w:eastAsia="Arial" w:hAnsi="Arial"/>
          <w:sz w:val="22"/>
          <w:szCs w:val="22"/>
          <w:color w:val="40AEFF"/>
        </w:rPr>
      </w:pPr>
    </w:p>
    <w:p>
      <w:pPr>
        <w:ind w:left="340" w:right="280" w:hanging="332"/>
        <w:spacing w:after="0" w:line="354" w:lineRule="auto"/>
        <w:tabs>
          <w:tab w:leader="none" w:pos="336" w:val="left"/>
        </w:tabs>
        <w:numPr>
          <w:ilvl w:val="0"/>
          <w:numId w:val="35"/>
        </w:numPr>
        <w:rPr>
          <w:rFonts w:ascii="Arial" w:cs="Arial" w:eastAsia="Arial" w:hAnsi="Arial"/>
          <w:sz w:val="22"/>
          <w:szCs w:val="22"/>
          <w:color w:val="40AEFF"/>
        </w:rPr>
      </w:pPr>
      <w:r>
        <w:rPr>
          <w:rFonts w:ascii="Arial" w:cs="Arial" w:eastAsia="Arial" w:hAnsi="Arial"/>
          <w:sz w:val="18"/>
          <w:szCs w:val="18"/>
          <w:color w:val="auto"/>
        </w:rPr>
        <w:t>The firm invested $54.9 million during Q1 2022 in capitalized facilities and technology. The firm currently expects capital expenditures, including internal labor capitalization, for 2022 to be about $290 million, of which more than three-quarters is planned for technology initiatives. These expenditures are expected to continue to be funded from the firm's operating resources.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066"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Investment Performance</w:t>
      </w:r>
      <w:r>
        <w:rPr>
          <w:rFonts w:ascii="Arial" w:cs="Arial" w:eastAsia="Arial" w:hAnsi="Arial"/>
          <w:sz w:val="23"/>
          <w:szCs w:val="23"/>
          <w:b w:val="1"/>
          <w:bCs w:val="1"/>
          <w:color w:val="auto"/>
          <w:vertAlign w:val="superscript"/>
        </w:rPr>
        <w:t>(1)</w:t>
      </w:r>
    </w:p>
    <w:p>
      <w:pPr>
        <w:spacing w:after="0" w:line="54" w:lineRule="exact"/>
        <w:rPr>
          <w:sz w:val="20"/>
          <w:szCs w:val="20"/>
          <w:color w:val="auto"/>
        </w:rPr>
      </w:pPr>
    </w:p>
    <w:p>
      <w:pPr>
        <w:ind w:right="60"/>
        <w:spacing w:after="0" w:line="360" w:lineRule="auto"/>
        <w:rPr>
          <w:sz w:val="20"/>
          <w:szCs w:val="20"/>
          <w:color w:val="auto"/>
        </w:rPr>
      </w:pPr>
      <w:r>
        <w:rPr>
          <w:rFonts w:ascii="Arial" w:cs="Arial" w:eastAsia="Arial" w:hAnsi="Arial"/>
          <w:sz w:val="18"/>
          <w:szCs w:val="18"/>
          <w:color w:val="auto"/>
        </w:rPr>
        <w:t>The following table presents investment performance for specific asset classes and AUM-weighted performance, mutual fund performance against passive peers, and composite performance against benchmarks for the one-, three-, five-, and 10-years ended March 31, 2022. Past performance is no guarantee of future results.</w:t>
      </w:r>
    </w:p>
    <w:tbl>
      <w:tblPr>
        <w:tblLayout w:type="fixed"/>
        <w:tblInd w:w="0" w:type="dxa"/>
        <w:tblCellMar>
          <w:top w:w="0" w:type="dxa"/>
          <w:left w:w="0" w:type="dxa"/>
          <w:bottom w:w="0" w:type="dxa"/>
          <w:right w:w="0" w:type="dxa"/>
        </w:tblCellMar>
      </w:tblPr>
      <w:tr>
        <w:trPr>
          <w:trHeight w:val="218"/>
        </w:trPr>
        <w:tc>
          <w:tcPr>
            <w:tcW w:w="20" w:type="dxa"/>
            <w:vAlign w:val="bottom"/>
            <w:shd w:val="clear" w:color="auto" w:fill="CCEEFF"/>
          </w:tcPr>
          <w:p>
            <w:pPr>
              <w:spacing w:after="0"/>
              <w:rPr>
                <w:sz w:val="18"/>
                <w:szCs w:val="18"/>
                <w:color w:val="auto"/>
              </w:rPr>
            </w:pPr>
          </w:p>
        </w:tc>
        <w:tc>
          <w:tcPr>
            <w:tcW w:w="5760" w:type="dxa"/>
            <w:vAlign w:val="bottom"/>
            <w:gridSpan w:val="5"/>
            <w:shd w:val="clear" w:color="auto" w:fill="CCEEFF"/>
          </w:tcPr>
          <w:p>
            <w:pPr>
              <w:spacing w:after="0" w:line="218" w:lineRule="exact"/>
              <w:rPr>
                <w:sz w:val="20"/>
                <w:szCs w:val="20"/>
                <w:color w:val="auto"/>
              </w:rPr>
            </w:pPr>
            <w:r>
              <w:rPr>
                <w:rFonts w:ascii="Arial" w:cs="Arial" w:eastAsia="Arial" w:hAnsi="Arial"/>
                <w:sz w:val="16"/>
                <w:szCs w:val="16"/>
                <w:b w:val="1"/>
                <w:bCs w:val="1"/>
                <w:color w:val="auto"/>
              </w:rPr>
              <w:t>% of U.S. mutual funds that outperformed Morningstar median</w:t>
            </w:r>
            <w:r>
              <w:rPr>
                <w:rFonts w:ascii="Arial" w:cs="Arial" w:eastAsia="Arial" w:hAnsi="Arial"/>
                <w:sz w:val="21"/>
                <w:szCs w:val="21"/>
                <w:b w:val="1"/>
                <w:bCs w:val="1"/>
                <w:color w:val="auto"/>
                <w:vertAlign w:val="superscript"/>
              </w:rPr>
              <w:t>(2),(3)</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gridSpan w:val="2"/>
          </w:tcPr>
          <w:p>
            <w:pPr>
              <w:jc w:val="center"/>
              <w:ind w:right="60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9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Equity</w:t>
            </w:r>
          </w:p>
        </w:tc>
        <w:tc>
          <w:tcPr>
            <w:tcW w:w="5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ind w:right="439"/>
              <w:spacing w:after="0"/>
              <w:rPr>
                <w:sz w:val="20"/>
                <w:szCs w:val="20"/>
                <w:color w:val="auto"/>
              </w:rPr>
            </w:pPr>
            <w:r>
              <w:rPr>
                <w:rFonts w:ascii="Arial" w:cs="Arial" w:eastAsia="Arial" w:hAnsi="Arial"/>
                <w:sz w:val="16"/>
                <w:szCs w:val="16"/>
                <w:color w:val="auto"/>
                <w:w w:val="99"/>
              </w:rPr>
              <w:t>41%</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60%</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64%</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85%</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63%</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71%</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62%</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63%</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37%</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81%</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79%</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90%</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47%</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69%</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68%</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79%</w:t>
            </w:r>
          </w:p>
        </w:tc>
      </w:tr>
      <w:tr>
        <w:trPr>
          <w:trHeight w:val="109"/>
        </w:trPr>
        <w:tc>
          <w:tcPr>
            <w:tcW w:w="20" w:type="dxa"/>
            <w:vAlign w:val="bottom"/>
            <w:shd w:val="clear" w:color="auto" w:fill="CCEEFF"/>
          </w:tcPr>
          <w:p>
            <w:pPr>
              <w:spacing w:after="0"/>
              <w:rPr>
                <w:sz w:val="9"/>
                <w:szCs w:val="9"/>
                <w:color w:val="auto"/>
              </w:rPr>
            </w:pPr>
          </w:p>
        </w:tc>
        <w:tc>
          <w:tcPr>
            <w:tcW w:w="2240" w:type="dxa"/>
            <w:vAlign w:val="bottom"/>
            <w:shd w:val="clear" w:color="auto" w:fill="CCEEFF"/>
          </w:tcPr>
          <w:p>
            <w:pPr>
              <w:spacing w:after="0"/>
              <w:rPr>
                <w:sz w:val="9"/>
                <w:szCs w:val="9"/>
                <w:color w:val="auto"/>
              </w:rPr>
            </w:pPr>
          </w:p>
        </w:tc>
        <w:tc>
          <w:tcPr>
            <w:tcW w:w="1680" w:type="dxa"/>
            <w:vAlign w:val="bottom"/>
            <w:shd w:val="clear" w:color="auto" w:fill="CCEEFF"/>
          </w:tcPr>
          <w:p>
            <w:pPr>
              <w:spacing w:after="0"/>
              <w:rPr>
                <w:sz w:val="9"/>
                <w:szCs w:val="9"/>
                <w:color w:val="auto"/>
              </w:rPr>
            </w:pPr>
          </w:p>
        </w:tc>
        <w:tc>
          <w:tcPr>
            <w:tcW w:w="1740" w:type="dxa"/>
            <w:vAlign w:val="bottom"/>
            <w:gridSpan w:val="2"/>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tcPr>
          <w:p>
            <w:pPr>
              <w:spacing w:after="0" w:line="216" w:lineRule="exact"/>
              <w:rPr>
                <w:sz w:val="20"/>
                <w:szCs w:val="20"/>
                <w:color w:val="auto"/>
              </w:rPr>
            </w:pPr>
            <w:r>
              <w:rPr>
                <w:rFonts w:ascii="Arial" w:cs="Arial" w:eastAsia="Arial" w:hAnsi="Arial"/>
                <w:sz w:val="16"/>
                <w:szCs w:val="16"/>
                <w:b w:val="1"/>
                <w:bCs w:val="1"/>
                <w:color w:val="auto"/>
              </w:rPr>
              <w:t>% of U.S. mutual funds that outperformed passive peer median</w:t>
            </w:r>
            <w:r>
              <w:rPr>
                <w:rFonts w:ascii="Arial" w:cs="Arial" w:eastAsia="Arial" w:hAnsi="Arial"/>
                <w:sz w:val="21"/>
                <w:szCs w:val="21"/>
                <w:b w:val="1"/>
                <w:bCs w:val="1"/>
                <w:color w:val="auto"/>
                <w:vertAlign w:val="superscript"/>
              </w:rPr>
              <w:t>(2),(4)</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600"/>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3920" w:type="dxa"/>
            <w:vAlign w:val="bottom"/>
            <w:gridSpan w:val="2"/>
          </w:tcPr>
          <w:p>
            <w:pPr>
              <w:ind w:left="220"/>
              <w:spacing w:after="0"/>
              <w:rPr>
                <w:sz w:val="20"/>
                <w:szCs w:val="20"/>
                <w:color w:val="auto"/>
              </w:rPr>
            </w:pPr>
            <w:r>
              <w:rPr>
                <w:rFonts w:ascii="Arial" w:cs="Arial" w:eastAsia="Arial" w:hAnsi="Arial"/>
                <w:sz w:val="16"/>
                <w:szCs w:val="16"/>
                <w:color w:val="auto"/>
              </w:rPr>
              <w:t>Equity</w:t>
            </w:r>
          </w:p>
        </w:tc>
        <w:tc>
          <w:tcPr>
            <w:tcW w:w="5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center"/>
              <w:ind w:right="439"/>
              <w:spacing w:after="0"/>
              <w:rPr>
                <w:sz w:val="20"/>
                <w:szCs w:val="20"/>
                <w:color w:val="auto"/>
              </w:rPr>
            </w:pPr>
            <w:r>
              <w:rPr>
                <w:rFonts w:ascii="Arial" w:cs="Arial" w:eastAsia="Arial" w:hAnsi="Arial"/>
                <w:sz w:val="16"/>
                <w:szCs w:val="16"/>
                <w:color w:val="auto"/>
                <w:w w:val="99"/>
              </w:rPr>
              <w:t>38%</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52%</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55%</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67%</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53%</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69%</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55%</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50%</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31%</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76%</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68%</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69%</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40%</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64%</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59%</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63%</w:t>
            </w:r>
          </w:p>
        </w:tc>
      </w:tr>
      <w:tr>
        <w:trPr>
          <w:trHeight w:val="108"/>
        </w:trPr>
        <w:tc>
          <w:tcPr>
            <w:tcW w:w="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spacing w:after="0"/>
              <w:rPr>
                <w:sz w:val="9"/>
                <w:szCs w:val="9"/>
                <w:color w:val="auto"/>
              </w:rPr>
            </w:pPr>
          </w:p>
        </w:tc>
      </w:tr>
      <w:tr>
        <w:trPr>
          <w:trHeight w:val="216"/>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of composites that outperformed benchmarks</w:t>
            </w:r>
            <w:r>
              <w:rPr>
                <w:rFonts w:ascii="Arial" w:cs="Arial" w:eastAsia="Arial" w:hAnsi="Arial"/>
                <w:sz w:val="21"/>
                <w:szCs w:val="21"/>
                <w:b w:val="1"/>
                <w:bCs w:val="1"/>
                <w:color w:val="auto"/>
                <w:vertAlign w:val="superscript"/>
              </w:rPr>
              <w:t>(5)</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gridSpan w:val="2"/>
          </w:tcPr>
          <w:p>
            <w:pPr>
              <w:jc w:val="center"/>
              <w:ind w:right="60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9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Equity</w:t>
            </w:r>
          </w:p>
        </w:tc>
        <w:tc>
          <w:tcPr>
            <w:tcW w:w="5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ind w:right="439"/>
              <w:spacing w:after="0"/>
              <w:rPr>
                <w:sz w:val="20"/>
                <w:szCs w:val="20"/>
                <w:color w:val="auto"/>
              </w:rPr>
            </w:pPr>
            <w:r>
              <w:rPr>
                <w:rFonts w:ascii="Arial" w:cs="Arial" w:eastAsia="Arial" w:hAnsi="Arial"/>
                <w:sz w:val="16"/>
                <w:szCs w:val="16"/>
                <w:color w:val="auto"/>
                <w:w w:val="99"/>
              </w:rPr>
              <w:t>34%</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49%</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59%</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72%</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58%</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73%</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77%</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79%</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All Composites</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44%</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59%</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66%</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74%</w:t>
            </w:r>
          </w:p>
        </w:tc>
      </w:tr>
      <w:tr>
        <w:trPr>
          <w:trHeight w:val="149"/>
        </w:trPr>
        <w:tc>
          <w:tcPr>
            <w:tcW w:w="2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r>
      <w:tr>
        <w:trPr>
          <w:trHeight w:val="101"/>
        </w:trPr>
        <w:tc>
          <w:tcPr>
            <w:tcW w:w="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2180" w:type="dxa"/>
            <w:vAlign w:val="bottom"/>
            <w:gridSpan w:val="2"/>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60" w:type="dxa"/>
            <w:vAlign w:val="bottom"/>
          </w:tcPr>
          <w:p>
            <w:pPr>
              <w:spacing w:after="0"/>
              <w:rPr>
                <w:sz w:val="8"/>
                <w:szCs w:val="8"/>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24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AUM- Weighted Performance</w:t>
            </w:r>
          </w:p>
        </w:tc>
        <w:tc>
          <w:tcPr>
            <w:tcW w:w="2180" w:type="dxa"/>
            <w:vAlign w:val="bottom"/>
            <w:tcBorders>
              <w:bottom w:val="single" w:sz="8" w:color="CCEEFF"/>
            </w:tcBorders>
            <w:gridSpan w:val="2"/>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tcPr>
          <w:p>
            <w:pPr>
              <w:spacing w:after="0" w:line="216" w:lineRule="exact"/>
              <w:rPr>
                <w:sz w:val="20"/>
                <w:szCs w:val="20"/>
                <w:color w:val="auto"/>
              </w:rPr>
            </w:pPr>
            <w:r>
              <w:rPr>
                <w:rFonts w:ascii="Arial" w:cs="Arial" w:eastAsia="Arial" w:hAnsi="Arial"/>
                <w:sz w:val="16"/>
                <w:szCs w:val="16"/>
                <w:b w:val="1"/>
                <w:bCs w:val="1"/>
                <w:color w:val="auto"/>
              </w:rPr>
              <w:t>% of U.S. mutual funds AUM that outperformed Morningstar median</w:t>
            </w:r>
            <w:r>
              <w:rPr>
                <w:rFonts w:ascii="Arial" w:cs="Arial" w:eastAsia="Arial" w:hAnsi="Arial"/>
                <w:sz w:val="21"/>
                <w:szCs w:val="21"/>
                <w:b w:val="1"/>
                <w:bCs w:val="1"/>
                <w:color w:val="auto"/>
                <w:vertAlign w:val="superscript"/>
              </w:rPr>
              <w:t>(2),(3)</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600"/>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3920" w:type="dxa"/>
            <w:vAlign w:val="bottom"/>
            <w:gridSpan w:val="2"/>
          </w:tcPr>
          <w:p>
            <w:pPr>
              <w:ind w:left="220"/>
              <w:spacing w:after="0"/>
              <w:rPr>
                <w:sz w:val="20"/>
                <w:szCs w:val="20"/>
                <w:color w:val="auto"/>
              </w:rPr>
            </w:pPr>
            <w:r>
              <w:rPr>
                <w:rFonts w:ascii="Arial" w:cs="Arial" w:eastAsia="Arial" w:hAnsi="Arial"/>
                <w:sz w:val="16"/>
                <w:szCs w:val="16"/>
                <w:color w:val="auto"/>
              </w:rPr>
              <w:t>Equity</w:t>
            </w:r>
          </w:p>
        </w:tc>
        <w:tc>
          <w:tcPr>
            <w:tcW w:w="5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center"/>
              <w:ind w:right="439"/>
              <w:spacing w:after="0"/>
              <w:rPr>
                <w:sz w:val="20"/>
                <w:szCs w:val="20"/>
                <w:color w:val="auto"/>
              </w:rPr>
            </w:pPr>
            <w:r>
              <w:rPr>
                <w:rFonts w:ascii="Arial" w:cs="Arial" w:eastAsia="Arial" w:hAnsi="Arial"/>
                <w:sz w:val="16"/>
                <w:szCs w:val="16"/>
                <w:color w:val="auto"/>
                <w:w w:val="99"/>
              </w:rPr>
              <w:t>46%</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47%</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76%</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92%</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75%</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81%</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68%</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80%</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37%</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95%</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96%</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97%</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46%</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63%</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81%</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92%</w:t>
            </w:r>
          </w:p>
        </w:tc>
      </w:tr>
      <w:tr>
        <w:trPr>
          <w:trHeight w:val="108"/>
        </w:trPr>
        <w:tc>
          <w:tcPr>
            <w:tcW w:w="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3520" w:type="dxa"/>
            <w:vAlign w:val="bottom"/>
            <w:gridSpan w:val="4"/>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spacing w:after="0"/>
              <w:rPr>
                <w:sz w:val="9"/>
                <w:szCs w:val="9"/>
                <w:color w:val="auto"/>
              </w:rPr>
            </w:pPr>
          </w:p>
        </w:tc>
      </w:tr>
      <w:tr>
        <w:trPr>
          <w:trHeight w:val="216"/>
        </w:trPr>
        <w:tc>
          <w:tcPr>
            <w:tcW w:w="20" w:type="dxa"/>
            <w:vAlign w:val="bottom"/>
            <w:shd w:val="clear" w:color="auto" w:fill="CCEEFF"/>
          </w:tcPr>
          <w:p>
            <w:pPr>
              <w:spacing w:after="0"/>
              <w:rPr>
                <w:sz w:val="18"/>
                <w:szCs w:val="18"/>
                <w:color w:val="auto"/>
              </w:rPr>
            </w:pPr>
          </w:p>
        </w:tc>
        <w:tc>
          <w:tcPr>
            <w:tcW w:w="5760" w:type="dxa"/>
            <w:vAlign w:val="bottom"/>
            <w:gridSpan w:val="5"/>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of U.S. mutual funds AUM that outperformed passive peer median</w:t>
            </w:r>
            <w:r>
              <w:rPr>
                <w:rFonts w:ascii="Arial" w:cs="Arial" w:eastAsia="Arial" w:hAnsi="Arial"/>
                <w:sz w:val="21"/>
                <w:szCs w:val="21"/>
                <w:b w:val="1"/>
                <w:bCs w:val="1"/>
                <w:color w:val="auto"/>
                <w:vertAlign w:val="superscript"/>
              </w:rPr>
              <w:t>(2),(4)</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gridSpan w:val="2"/>
          </w:tcPr>
          <w:p>
            <w:pPr>
              <w:jc w:val="center"/>
              <w:ind w:right="60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9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Equity</w:t>
            </w:r>
          </w:p>
        </w:tc>
        <w:tc>
          <w:tcPr>
            <w:tcW w:w="5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ind w:right="439"/>
              <w:spacing w:after="0"/>
              <w:rPr>
                <w:sz w:val="20"/>
                <w:szCs w:val="20"/>
                <w:color w:val="auto"/>
              </w:rPr>
            </w:pPr>
            <w:r>
              <w:rPr>
                <w:rFonts w:ascii="Arial" w:cs="Arial" w:eastAsia="Arial" w:hAnsi="Arial"/>
                <w:sz w:val="16"/>
                <w:szCs w:val="16"/>
                <w:color w:val="auto"/>
                <w:w w:val="99"/>
              </w:rPr>
              <w:t>43%</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46%</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57%</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59%</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69%</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71%</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63%</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48%</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27%</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96%</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95%</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92%</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40%</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61%</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67%</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67%</w:t>
            </w:r>
          </w:p>
        </w:tc>
      </w:tr>
      <w:tr>
        <w:trPr>
          <w:trHeight w:val="109"/>
        </w:trPr>
        <w:tc>
          <w:tcPr>
            <w:tcW w:w="20" w:type="dxa"/>
            <w:vAlign w:val="bottom"/>
            <w:shd w:val="clear" w:color="auto" w:fill="CCEEFF"/>
          </w:tcPr>
          <w:p>
            <w:pPr>
              <w:spacing w:after="0"/>
              <w:rPr>
                <w:sz w:val="9"/>
                <w:szCs w:val="9"/>
                <w:color w:val="auto"/>
              </w:rPr>
            </w:pPr>
          </w:p>
        </w:tc>
        <w:tc>
          <w:tcPr>
            <w:tcW w:w="2240" w:type="dxa"/>
            <w:vAlign w:val="bottom"/>
            <w:shd w:val="clear" w:color="auto" w:fill="CCEEFF"/>
          </w:tcPr>
          <w:p>
            <w:pPr>
              <w:spacing w:after="0"/>
              <w:rPr>
                <w:sz w:val="9"/>
                <w:szCs w:val="9"/>
                <w:color w:val="auto"/>
              </w:rPr>
            </w:pPr>
          </w:p>
        </w:tc>
        <w:tc>
          <w:tcPr>
            <w:tcW w:w="2180" w:type="dxa"/>
            <w:vAlign w:val="bottom"/>
            <w:gridSpan w:val="2"/>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spacing w:after="0" w:line="216" w:lineRule="exact"/>
              <w:rPr>
                <w:sz w:val="20"/>
                <w:szCs w:val="20"/>
                <w:color w:val="auto"/>
              </w:rPr>
            </w:pPr>
            <w:r>
              <w:rPr>
                <w:rFonts w:ascii="Arial" w:cs="Arial" w:eastAsia="Arial" w:hAnsi="Arial"/>
                <w:sz w:val="16"/>
                <w:szCs w:val="16"/>
                <w:b w:val="1"/>
                <w:bCs w:val="1"/>
                <w:color w:val="auto"/>
              </w:rPr>
              <w:t>% of composites AUM that outperformed benchmarks</w:t>
            </w:r>
            <w:r>
              <w:rPr>
                <w:rFonts w:ascii="Arial" w:cs="Arial" w:eastAsia="Arial" w:hAnsi="Arial"/>
                <w:sz w:val="21"/>
                <w:szCs w:val="21"/>
                <w:b w:val="1"/>
                <w:bCs w:val="1"/>
                <w:color w:val="auto"/>
                <w:vertAlign w:val="superscript"/>
              </w:rPr>
              <w:t>(5)</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600"/>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3920" w:type="dxa"/>
            <w:vAlign w:val="bottom"/>
            <w:gridSpan w:val="2"/>
          </w:tcPr>
          <w:p>
            <w:pPr>
              <w:ind w:left="220"/>
              <w:spacing w:after="0"/>
              <w:rPr>
                <w:sz w:val="20"/>
                <w:szCs w:val="20"/>
                <w:color w:val="auto"/>
              </w:rPr>
            </w:pPr>
            <w:r>
              <w:rPr>
                <w:rFonts w:ascii="Arial" w:cs="Arial" w:eastAsia="Arial" w:hAnsi="Arial"/>
                <w:sz w:val="16"/>
                <w:szCs w:val="16"/>
                <w:color w:val="auto"/>
              </w:rPr>
              <w:t>Equity</w:t>
            </w:r>
          </w:p>
        </w:tc>
        <w:tc>
          <w:tcPr>
            <w:tcW w:w="5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center"/>
              <w:ind w:right="439"/>
              <w:spacing w:after="0"/>
              <w:rPr>
                <w:sz w:val="20"/>
                <w:szCs w:val="20"/>
                <w:color w:val="auto"/>
              </w:rPr>
            </w:pPr>
            <w:r>
              <w:rPr>
                <w:rFonts w:ascii="Arial" w:cs="Arial" w:eastAsia="Arial" w:hAnsi="Arial"/>
                <w:sz w:val="16"/>
                <w:szCs w:val="16"/>
                <w:color w:val="auto"/>
                <w:w w:val="99"/>
              </w:rPr>
              <w:t>38%</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38%</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61%</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76%</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63%</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80%</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75%</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74%</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All Composites</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42%</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45%</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63%</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76%</w:t>
            </w:r>
          </w:p>
        </w:tc>
      </w:tr>
    </w:tbl>
    <w:p>
      <w:pPr>
        <w:spacing w:after="0" w:line="334" w:lineRule="exact"/>
        <w:rPr>
          <w:sz w:val="20"/>
          <w:szCs w:val="20"/>
          <w:color w:val="auto"/>
        </w:rPr>
      </w:pPr>
    </w:p>
    <w:p>
      <w:pPr>
        <w:jc w:val="both"/>
        <w:ind w:right="160"/>
        <w:spacing w:after="0" w:line="237" w:lineRule="auto"/>
        <w:rPr>
          <w:sz w:val="20"/>
          <w:szCs w:val="20"/>
          <w:color w:val="auto"/>
        </w:rPr>
      </w:pPr>
      <w:r>
        <w:rPr>
          <w:rFonts w:ascii="Arial" w:cs="Arial" w:eastAsia="Arial" w:hAnsi="Arial"/>
          <w:sz w:val="18"/>
          <w:szCs w:val="18"/>
          <w:color w:val="auto"/>
        </w:rPr>
        <w:t>As of March 31, 2022, 69 of 124 (55.6%) of the firm's rated U.S. mutual funds (across primary share classes) received an overall rating of 4 or 5 stars. By comparison, 32.5% of Morningstar's fund population is given a rating of 4 or 5 stars</w:t>
      </w:r>
      <w:r>
        <w:rPr>
          <w:rFonts w:ascii="Arial" w:cs="Arial" w:eastAsia="Arial" w:hAnsi="Arial"/>
          <w:sz w:val="23"/>
          <w:szCs w:val="23"/>
          <w:color w:val="auto"/>
          <w:vertAlign w:val="superscript"/>
        </w:rPr>
        <w:t>(6)</w:t>
      </w:r>
      <w:r>
        <w:rPr>
          <w:rFonts w:ascii="Arial" w:cs="Arial" w:eastAsia="Arial" w:hAnsi="Arial"/>
          <w:sz w:val="18"/>
          <w:szCs w:val="18"/>
          <w:color w:val="auto"/>
        </w:rPr>
        <w:t>. In addition, 67%</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of AUM in the firm's rated U.S. mutual funds (across primary share classes) ended March 31, 2022 with an overall rating of 4 or 5 stars.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061" w:right="339" w:bottom="1440" w:gutter="0" w:footer="0" w:header="0"/>
        </w:sectPr>
      </w:pPr>
    </w:p>
    <w:bookmarkStart w:id="51" w:name="page52"/>
    <w:bookmarkEnd w:id="51"/>
    <w:p>
      <w:pPr>
        <w:ind w:left="140" w:hanging="132"/>
        <w:spacing w:after="0"/>
        <w:tabs>
          <w:tab w:leader="none" w:pos="140" w:val="left"/>
        </w:tabs>
        <w:numPr>
          <w:ilvl w:val="0"/>
          <w:numId w:val="36"/>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The investment performance reflects that of T. Rowe Price sponsored mutual funds and composites AUM and not of OHA's products.</w:t>
      </w:r>
    </w:p>
    <w:p>
      <w:pPr>
        <w:ind w:left="140" w:hanging="132"/>
        <w:spacing w:after="0"/>
        <w:tabs>
          <w:tab w:leader="none" w:pos="140" w:val="left"/>
        </w:tabs>
        <w:numPr>
          <w:ilvl w:val="0"/>
          <w:numId w:val="36"/>
        </w:numPr>
        <w:rPr>
          <w:rFonts w:ascii="Arial" w:cs="Arial" w:eastAsia="Arial" w:hAnsi="Arial"/>
          <w:sz w:val="9"/>
          <w:szCs w:val="9"/>
          <w:i w:val="1"/>
          <w:iCs w:val="1"/>
          <w:color w:val="auto"/>
        </w:rPr>
      </w:pPr>
      <w:r>
        <w:rPr>
          <w:rFonts w:ascii="Arial" w:cs="Arial" w:eastAsia="Arial" w:hAnsi="Arial"/>
          <w:sz w:val="14"/>
          <w:szCs w:val="14"/>
          <w:i w:val="1"/>
          <w:iCs w:val="1"/>
          <w:color w:val="auto"/>
        </w:rPr>
        <w:t>Source: © 2022 Morningstar, Inc. All rights reserved. The information contained herein: 1) is proprietary to Morningstar and/or its content providers; 2) may not be copied or</w:t>
      </w:r>
    </w:p>
    <w:p>
      <w:pPr>
        <w:spacing w:after="0" w:line="1" w:lineRule="exact"/>
        <w:rPr>
          <w:sz w:val="20"/>
          <w:szCs w:val="20"/>
          <w:color w:val="auto"/>
        </w:rPr>
      </w:pPr>
    </w:p>
    <w:p>
      <w:pPr>
        <w:ind w:right="80"/>
        <w:spacing w:after="0" w:line="225" w:lineRule="auto"/>
        <w:rPr>
          <w:sz w:val="20"/>
          <w:szCs w:val="20"/>
          <w:color w:val="auto"/>
        </w:rPr>
      </w:pPr>
      <w:r>
        <w:rPr>
          <w:rFonts w:ascii="Arial" w:cs="Arial" w:eastAsia="Arial" w:hAnsi="Arial"/>
          <w:sz w:val="14"/>
          <w:szCs w:val="14"/>
          <w:i w:val="1"/>
          <w:iCs w:val="1"/>
          <w:color w:val="auto"/>
        </w:rPr>
        <w:t>distributed; and 3) is not warranted to be accurate, complete, or timely.Neither Morningstar nor its content providers are responsible for any damages or losses arising from any use of this information.</w:t>
      </w:r>
    </w:p>
    <w:p>
      <w:pPr>
        <w:ind w:right="40" w:firstLine="8"/>
        <w:spacing w:after="0" w:line="229" w:lineRule="auto"/>
        <w:tabs>
          <w:tab w:leader="none" w:pos="154" w:val="left"/>
        </w:tabs>
        <w:numPr>
          <w:ilvl w:val="0"/>
          <w:numId w:val="37"/>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Source: Morningstar. Primary share class only. Excludes money market mutual funds, funds with an operating history of less than one year, T. Rowe Price passive funds, and T. Rowe Price funds that are clones of other funds. The top chart reflects the percentage of T. Rowe Price funds with 1 year, 3 year, 5 year, and 10 year track record that are outperforming the Morningstar category median. The bottom chart reflects the percentage of T. Rowe Price funds AUM that has outperformed for the time periods indicated. Total Fund AUM included for this analysis includes $394B for 1 year, $393B for 3 years, $393B for 5 years, and $386B for 10 years.</w:t>
      </w:r>
    </w:p>
    <w:p>
      <w:pPr>
        <w:spacing w:after="0" w:line="1" w:lineRule="exact"/>
        <w:rPr>
          <w:rFonts w:ascii="Arial" w:cs="Arial" w:eastAsia="Arial" w:hAnsi="Arial"/>
          <w:sz w:val="17"/>
          <w:szCs w:val="17"/>
          <w:i w:val="1"/>
          <w:iCs w:val="1"/>
          <w:color w:val="auto"/>
          <w:vertAlign w:val="superscript"/>
        </w:rPr>
      </w:pPr>
    </w:p>
    <w:p>
      <w:pPr>
        <w:ind w:right="40" w:firstLine="8"/>
        <w:spacing w:after="0" w:line="229" w:lineRule="auto"/>
        <w:tabs>
          <w:tab w:leader="none" w:pos="154" w:val="left"/>
        </w:tabs>
        <w:numPr>
          <w:ilvl w:val="0"/>
          <w:numId w:val="37"/>
        </w:numPr>
        <w:rPr>
          <w:rFonts w:ascii="Arial" w:cs="Arial" w:eastAsia="Arial" w:hAnsi="Arial"/>
          <w:sz w:val="9"/>
          <w:szCs w:val="9"/>
          <w:i w:val="1"/>
          <w:iCs w:val="1"/>
          <w:color w:val="auto"/>
        </w:rPr>
      </w:pPr>
      <w:r>
        <w:rPr>
          <w:rFonts w:ascii="Arial" w:cs="Arial" w:eastAsia="Arial" w:hAnsi="Arial"/>
          <w:sz w:val="14"/>
          <w:szCs w:val="14"/>
          <w:i w:val="1"/>
          <w:iCs w:val="1"/>
          <w:color w:val="auto"/>
        </w:rPr>
        <w:t>Passive Peer Median was created by T. Rowe Price using data from Morningstar. Primary share class only. Excludes money market mutual funds, funds with an operating history of less than one year, funds with fewer than three peers, T. Rowe Price passive funds, and T. Rowe Price funds that are clones of other funds. This analysis compares T. Rowe Price active funds to the applicable universe of passive/index open-end funds and ETFs of peer firms. The top chart reflects the percentage of T. Rowe Price funds with 1 year, 3 year, 5 year, and 10 year track record that are outperforming the passive peer universe. The bottom chart reflects the percentage of T. Rowe Price funds AUM that has outperformed for the time periods indicated. Total AUM included for this analysis includes $372B for 1 year, $370B for 3 years, $368B for 5 years, and $353B for 10 years.</w:t>
      </w:r>
    </w:p>
    <w:p>
      <w:pPr>
        <w:spacing w:after="0" w:line="1" w:lineRule="exact"/>
        <w:rPr>
          <w:rFonts w:ascii="Arial" w:cs="Arial" w:eastAsia="Arial" w:hAnsi="Arial"/>
          <w:sz w:val="9"/>
          <w:szCs w:val="9"/>
          <w:i w:val="1"/>
          <w:iCs w:val="1"/>
          <w:color w:val="auto"/>
        </w:rPr>
      </w:pPr>
    </w:p>
    <w:p>
      <w:pPr>
        <w:ind w:right="220" w:firstLine="8"/>
        <w:spacing w:after="0" w:line="231" w:lineRule="auto"/>
        <w:tabs>
          <w:tab w:leader="none" w:pos="140" w:val="left"/>
        </w:tabs>
        <w:numPr>
          <w:ilvl w:val="0"/>
          <w:numId w:val="37"/>
        </w:numPr>
        <w:rPr>
          <w:rFonts w:ascii="Arial" w:cs="Arial" w:eastAsia="Arial" w:hAnsi="Arial"/>
          <w:sz w:val="9"/>
          <w:szCs w:val="9"/>
          <w:i w:val="1"/>
          <w:iCs w:val="1"/>
          <w:color w:val="auto"/>
        </w:rPr>
      </w:pPr>
      <w:r>
        <w:rPr>
          <w:rFonts w:ascii="Arial" w:cs="Arial" w:eastAsia="Arial" w:hAnsi="Arial"/>
          <w:sz w:val="14"/>
          <w:szCs w:val="14"/>
          <w:i w:val="1"/>
          <w:iCs w:val="1"/>
          <w:color w:val="auto"/>
        </w:rPr>
        <w:t>Composite net returns are calculated using the highest applicable separate account fee schedule. Excludes money market composites. All composites compared to official GIPS composite primary benchmark. The top chart reflects the percentage of T. Rowe Price composites with 1 year, 3 year, 5 year, and 10 year track record that are outperforming their benchmarks. The bottom chart reflects the percentage of T. Rowe Price composite AUM that has outperformed for the time periods indicated. Total AUM included for this analysis includes $1,392B for 1 year, $1,390B for 3 years, $1,376B for 5 years, and $1,337B for 10 years.</w:t>
      </w:r>
    </w:p>
    <w:p>
      <w:pPr>
        <w:spacing w:after="0" w:line="1" w:lineRule="exact"/>
        <w:rPr>
          <w:rFonts w:ascii="Arial" w:cs="Arial" w:eastAsia="Arial" w:hAnsi="Arial"/>
          <w:sz w:val="9"/>
          <w:szCs w:val="9"/>
          <w:i w:val="1"/>
          <w:iCs w:val="1"/>
          <w:color w:val="auto"/>
        </w:rPr>
      </w:pPr>
    </w:p>
    <w:p>
      <w:pPr>
        <w:ind w:right="80" w:firstLine="8"/>
        <w:spacing w:after="0" w:line="241" w:lineRule="auto"/>
        <w:tabs>
          <w:tab w:leader="none" w:pos="154" w:val="left"/>
        </w:tabs>
        <w:numPr>
          <w:ilvl w:val="0"/>
          <w:numId w:val="37"/>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The Morningstar Rating™ for funds is calculated for funds with at least a three-year history. Exchange-traded funds and open-ended mutual funds are considered a single population for comparative purposes. It is calculated based on a Morningstar Risk-Adjusted Return measure that accounts for variation in a managed product's monthly excess performance, placing more emphasis on downward variations and rewarding consistent performance. Morningstar gives its best ratings of 5 or 4 stars to the top 32.5% of all funds (of the 32.5%,10% get 5 stars and 22.5% get 4 stars). The Overall Morningstar Rating™ is derived from a weighted average of the performance figures associated with a fund’s 3, 5, and 10 year (if applicable) Morningstar Rating™ metrics.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58" w:lineRule="exact"/>
        <w:rPr>
          <w:sz w:val="20"/>
          <w:szCs w:val="20"/>
          <w:color w:val="auto"/>
        </w:rPr>
      </w:pPr>
    </w:p>
    <w:p>
      <w:pPr>
        <w:ind w:right="400"/>
        <w:spacing w:after="0" w:line="386" w:lineRule="auto"/>
        <w:rPr>
          <w:sz w:val="20"/>
          <w:szCs w:val="20"/>
          <w:color w:val="auto"/>
        </w:rPr>
      </w:pPr>
      <w:r>
        <w:rPr>
          <w:rFonts w:ascii="Arial" w:cs="Arial" w:eastAsia="Arial" w:hAnsi="Arial"/>
          <w:sz w:val="18"/>
          <w:szCs w:val="18"/>
          <w:color w:val="auto"/>
        </w:rPr>
        <w:t>The financial results presented in this release are unaudited. The firm expects that it will file its Form 10-Q Quarterly Report for the first quarter of 2022 with the U.S. Securities and Exchange Commission later today. The Form 10-Q will include additional information on the firm's unaudited consolidated financial statements at March 31, 2022.</w:t>
      </w:r>
    </w:p>
    <w:p>
      <w:pPr>
        <w:spacing w:after="0" w:line="189" w:lineRule="exact"/>
        <w:rPr>
          <w:sz w:val="20"/>
          <w:szCs w:val="20"/>
          <w:color w:val="auto"/>
        </w:rPr>
      </w:pPr>
    </w:p>
    <w:p>
      <w:pPr>
        <w:spacing w:after="0" w:line="370" w:lineRule="auto"/>
        <w:rPr>
          <w:sz w:val="20"/>
          <w:szCs w:val="20"/>
          <w:color w:val="auto"/>
        </w:rPr>
      </w:pPr>
      <w:r>
        <w:rPr>
          <w:rFonts w:ascii="Arial" w:cs="Arial" w:eastAsia="Arial" w:hAnsi="Arial"/>
          <w:sz w:val="18"/>
          <w:szCs w:val="18"/>
          <w:color w:val="auto"/>
        </w:rPr>
        <w:t>Certain statements in this earnings release may represent “forward-looking information,” including information relating to anticipated changes in revenues, net income and earnings per common share, anticipated changes in the amount and composition of assets under management, anticipated expense levels, estimated effective tax rates, the timing and expense related to the integration of OHA with and into our business, and expectations regarding financial results, future transactions, new products and services, investments, capital expenditures, dividends, stock repurchases, changes in our effective fee rate, the impact of the coronavirus pandemic, and other market conditions. For a discussion concerning risks and other factors that could affect future results, see the firm's 2021 Annual Report on Form 10-K.</w:t>
      </w:r>
    </w:p>
    <w:p>
      <w:pPr>
        <w:spacing w:after="0" w:line="205" w:lineRule="exact"/>
        <w:rPr>
          <w:sz w:val="20"/>
          <w:szCs w:val="20"/>
          <w:color w:val="auto"/>
        </w:rPr>
      </w:pPr>
    </w:p>
    <w:p>
      <w:pPr>
        <w:ind w:right="120"/>
        <w:spacing w:after="0" w:line="372" w:lineRule="auto"/>
        <w:rPr>
          <w:sz w:val="20"/>
          <w:szCs w:val="20"/>
          <w:color w:val="auto"/>
        </w:rPr>
      </w:pPr>
      <w:r>
        <w:rPr>
          <w:rFonts w:ascii="Arial" w:cs="Arial" w:eastAsia="Arial" w:hAnsi="Arial"/>
          <w:sz w:val="18"/>
          <w:szCs w:val="18"/>
          <w:color w:val="auto"/>
        </w:rPr>
        <w:t>Founded in 1937, Baltimore-based T. Rowe Price (</w:t>
      </w:r>
      <w:r>
        <w:rPr>
          <w:rFonts w:ascii="Arial" w:cs="Arial" w:eastAsia="Arial" w:hAnsi="Arial"/>
          <w:sz w:val="18"/>
          <w:szCs w:val="18"/>
          <w:b w:val="1"/>
          <w:bCs w:val="1"/>
          <w:color w:val="054C70"/>
        </w:rPr>
        <w:t>troweprice.com</w:t>
      </w:r>
      <w:r>
        <w:rPr>
          <w:rFonts w:ascii="Arial" w:cs="Arial" w:eastAsia="Arial" w:hAnsi="Arial"/>
          <w:sz w:val="18"/>
          <w:szCs w:val="18"/>
          <w:color w:val="auto"/>
        </w:rPr>
        <w:t>) is a global investment management organization that provides a broad array of mutual funds, subadvisory services, and separate account management for individual and institutional investors, retirement plans, and financial intermediaries. The organization also offers a variety of sophisticated investment planning and guidance tools. T. Rowe Price's disciplined, risk-aware investment approach focuses on diversification, style consistency, and fundamental research.</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120" w:type="dxa"/>
            <w:vAlign w:val="bottom"/>
            <w:gridSpan w:val="3"/>
          </w:tcPr>
          <w:p>
            <w:pPr>
              <w:spacing w:after="0"/>
              <w:rPr>
                <w:sz w:val="20"/>
                <w:szCs w:val="20"/>
                <w:color w:val="auto"/>
              </w:rPr>
            </w:pPr>
            <w:r>
              <w:rPr>
                <w:rFonts w:ascii="Arial" w:cs="Arial" w:eastAsia="Arial" w:hAnsi="Arial"/>
                <w:sz w:val="18"/>
                <w:szCs w:val="18"/>
                <w:b w:val="1"/>
                <w:bCs w:val="1"/>
                <w:color w:val="05C3DE"/>
              </w:rPr>
              <w:t>CONTACTS:</w:t>
            </w:r>
          </w:p>
        </w:tc>
        <w:tc>
          <w:tcPr>
            <w:tcW w:w="2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4100" w:type="dxa"/>
            <w:vAlign w:val="bottom"/>
            <w:gridSpan w:val="2"/>
          </w:tcPr>
          <w:p>
            <w:pPr>
              <w:spacing w:after="0"/>
              <w:rPr>
                <w:sz w:val="20"/>
                <w:szCs w:val="20"/>
                <w:color w:val="auto"/>
              </w:rPr>
            </w:pPr>
            <w:r>
              <w:rPr>
                <w:rFonts w:ascii="Arial" w:cs="Arial" w:eastAsia="Arial" w:hAnsi="Arial"/>
                <w:sz w:val="18"/>
                <w:szCs w:val="18"/>
                <w:b w:val="1"/>
                <w:bCs w:val="1"/>
                <w:color w:val="054C70"/>
              </w:rPr>
              <w:t>Public Relations</w:t>
            </w:r>
          </w:p>
        </w:tc>
        <w:tc>
          <w:tcPr>
            <w:tcW w:w="4980" w:type="dxa"/>
            <w:vAlign w:val="bottom"/>
            <w:gridSpan w:val="3"/>
          </w:tcPr>
          <w:p>
            <w:pPr>
              <w:ind w:left="2260"/>
              <w:spacing w:after="0"/>
              <w:rPr>
                <w:sz w:val="20"/>
                <w:szCs w:val="20"/>
                <w:color w:val="auto"/>
              </w:rPr>
            </w:pPr>
            <w:r>
              <w:rPr>
                <w:rFonts w:ascii="Arial" w:cs="Arial" w:eastAsia="Arial" w:hAnsi="Arial"/>
                <w:sz w:val="18"/>
                <w:szCs w:val="18"/>
                <w:b w:val="1"/>
                <w:bCs w:val="1"/>
                <w:color w:val="054C70"/>
              </w:rPr>
              <w:t>Investor Relations</w:t>
            </w:r>
          </w:p>
        </w:tc>
      </w:tr>
      <w:tr>
        <w:trPr>
          <w:trHeight w:val="245"/>
        </w:trPr>
        <w:tc>
          <w:tcPr>
            <w:tcW w:w="20" w:type="dxa"/>
            <w:vAlign w:val="bottom"/>
          </w:tcPr>
          <w:p>
            <w:pPr>
              <w:spacing w:after="0"/>
              <w:rPr>
                <w:sz w:val="21"/>
                <w:szCs w:val="21"/>
                <w:color w:val="auto"/>
              </w:rPr>
            </w:pPr>
          </w:p>
        </w:tc>
        <w:tc>
          <w:tcPr>
            <w:tcW w:w="1400" w:type="dxa"/>
            <w:vAlign w:val="bottom"/>
            <w:tcBorders>
              <w:top w:val="single" w:sz="8" w:color="054C70"/>
            </w:tcBorders>
          </w:tcPr>
          <w:p>
            <w:pPr>
              <w:spacing w:after="0"/>
              <w:rPr>
                <w:sz w:val="20"/>
                <w:szCs w:val="20"/>
                <w:color w:val="auto"/>
              </w:rPr>
            </w:pPr>
            <w:r>
              <w:rPr>
                <w:rFonts w:ascii="Arial" w:cs="Arial" w:eastAsia="Arial" w:hAnsi="Arial"/>
                <w:sz w:val="18"/>
                <w:szCs w:val="18"/>
                <w:color w:val="3B3B3B"/>
              </w:rPr>
              <w:t>Brian Lewbart</w:t>
            </w:r>
          </w:p>
        </w:tc>
        <w:tc>
          <w:tcPr>
            <w:tcW w:w="27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560" w:type="dxa"/>
            <w:vAlign w:val="bottom"/>
            <w:tcBorders>
              <w:top w:val="single" w:sz="8" w:color="054C70"/>
            </w:tcBorders>
          </w:tcPr>
          <w:p>
            <w:pPr>
              <w:spacing w:after="0"/>
              <w:rPr>
                <w:sz w:val="20"/>
                <w:szCs w:val="20"/>
                <w:color w:val="auto"/>
              </w:rPr>
            </w:pPr>
            <w:r>
              <w:rPr>
                <w:rFonts w:ascii="Arial" w:cs="Arial" w:eastAsia="Arial" w:hAnsi="Arial"/>
                <w:sz w:val="18"/>
                <w:szCs w:val="18"/>
                <w:color w:val="3B3B3B"/>
              </w:rPr>
              <w:t>Linsley Carruth</w:t>
            </w:r>
          </w:p>
        </w:tc>
        <w:tc>
          <w:tcPr>
            <w:tcW w:w="1160" w:type="dxa"/>
            <w:vAlign w:val="bottom"/>
          </w:tcPr>
          <w:p>
            <w:pPr>
              <w:spacing w:after="0"/>
              <w:rPr>
                <w:sz w:val="21"/>
                <w:szCs w:val="21"/>
                <w:color w:val="auto"/>
              </w:rPr>
            </w:pPr>
          </w:p>
        </w:tc>
      </w:tr>
      <w:tr>
        <w:trPr>
          <w:trHeight w:val="230"/>
        </w:trPr>
        <w:tc>
          <w:tcPr>
            <w:tcW w:w="1420" w:type="dxa"/>
            <w:vAlign w:val="bottom"/>
            <w:gridSpan w:val="2"/>
          </w:tcPr>
          <w:p>
            <w:pPr>
              <w:ind w:left="20"/>
              <w:spacing w:after="0"/>
              <w:rPr>
                <w:sz w:val="20"/>
                <w:szCs w:val="20"/>
                <w:color w:val="auto"/>
              </w:rPr>
            </w:pPr>
            <w:r>
              <w:rPr>
                <w:rFonts w:ascii="Arial" w:cs="Arial" w:eastAsia="Arial" w:hAnsi="Arial"/>
                <w:sz w:val="18"/>
                <w:szCs w:val="18"/>
                <w:color w:val="3B3B3B"/>
              </w:rPr>
              <w:t>410-345-2242</w:t>
            </w:r>
          </w:p>
        </w:tc>
        <w:tc>
          <w:tcPr>
            <w:tcW w:w="2700" w:type="dxa"/>
            <w:vAlign w:val="bottom"/>
          </w:tcPr>
          <w:p>
            <w:pPr>
              <w:spacing w:after="0"/>
              <w:rPr>
                <w:sz w:val="19"/>
                <w:szCs w:val="19"/>
                <w:color w:val="auto"/>
              </w:rPr>
            </w:pPr>
          </w:p>
        </w:tc>
        <w:tc>
          <w:tcPr>
            <w:tcW w:w="3820" w:type="dxa"/>
            <w:vAlign w:val="bottom"/>
            <w:gridSpan w:val="2"/>
          </w:tcPr>
          <w:p>
            <w:pPr>
              <w:ind w:left="2260"/>
              <w:spacing w:after="0"/>
              <w:rPr>
                <w:sz w:val="20"/>
                <w:szCs w:val="20"/>
                <w:color w:val="auto"/>
              </w:rPr>
            </w:pPr>
            <w:r>
              <w:rPr>
                <w:rFonts w:ascii="Arial" w:cs="Arial" w:eastAsia="Arial" w:hAnsi="Arial"/>
                <w:sz w:val="18"/>
                <w:szCs w:val="18"/>
                <w:color w:val="3B3B3B"/>
              </w:rPr>
              <w:t>410-345-3717</w:t>
            </w:r>
          </w:p>
        </w:tc>
        <w:tc>
          <w:tcPr>
            <w:tcW w:w="1160" w:type="dxa"/>
            <w:vAlign w:val="bottom"/>
          </w:tcPr>
          <w:p>
            <w:pPr>
              <w:spacing w:after="0"/>
              <w:rPr>
                <w:sz w:val="19"/>
                <w:szCs w:val="19"/>
                <w:color w:val="auto"/>
              </w:rPr>
            </w:pPr>
          </w:p>
        </w:tc>
      </w:tr>
      <w:tr>
        <w:trPr>
          <w:trHeight w:val="247"/>
        </w:trPr>
        <w:tc>
          <w:tcPr>
            <w:tcW w:w="20" w:type="dxa"/>
            <w:vAlign w:val="bottom"/>
          </w:tcPr>
          <w:p>
            <w:pPr>
              <w:spacing w:after="0"/>
              <w:rPr>
                <w:sz w:val="21"/>
                <w:szCs w:val="21"/>
                <w:color w:val="auto"/>
              </w:rPr>
            </w:pPr>
          </w:p>
        </w:tc>
        <w:tc>
          <w:tcPr>
            <w:tcW w:w="4100" w:type="dxa"/>
            <w:vAlign w:val="bottom"/>
            <w:gridSpan w:val="2"/>
          </w:tcPr>
          <w:p>
            <w:pPr>
              <w:spacing w:after="0"/>
              <w:rPr>
                <w:sz w:val="20"/>
                <w:szCs w:val="20"/>
                <w:color w:val="auto"/>
              </w:rPr>
            </w:pPr>
            <w:r>
              <w:rPr>
                <w:rFonts w:ascii="Arial" w:cs="Arial" w:eastAsia="Arial" w:hAnsi="Arial"/>
                <w:sz w:val="18"/>
                <w:szCs w:val="18"/>
                <w:b w:val="1"/>
                <w:bCs w:val="1"/>
                <w:color w:val="054C70"/>
              </w:rPr>
              <w:t>brian.lewbart@troweprice.com</w:t>
            </w:r>
          </w:p>
        </w:tc>
        <w:tc>
          <w:tcPr>
            <w:tcW w:w="4980" w:type="dxa"/>
            <w:vAlign w:val="bottom"/>
            <w:gridSpan w:val="3"/>
          </w:tcPr>
          <w:p>
            <w:pPr>
              <w:ind w:left="2260"/>
              <w:spacing w:after="0"/>
              <w:rPr>
                <w:sz w:val="20"/>
                <w:szCs w:val="20"/>
                <w:color w:val="auto"/>
              </w:rPr>
            </w:pPr>
            <w:r>
              <w:rPr>
                <w:rFonts w:ascii="Arial" w:cs="Arial" w:eastAsia="Arial" w:hAnsi="Arial"/>
                <w:sz w:val="18"/>
                <w:szCs w:val="18"/>
                <w:b w:val="1"/>
                <w:bCs w:val="1"/>
                <w:color w:val="054C70"/>
                <w:w w:val="98"/>
              </w:rPr>
              <w:t>linsley.carruth@troweprice.com</w:t>
            </w:r>
          </w:p>
        </w:tc>
      </w:tr>
      <w:tr>
        <w:trPr>
          <w:trHeight w:val="559"/>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260" w:type="dxa"/>
            <w:vAlign w:val="bottom"/>
          </w:tcPr>
          <w:p>
            <w:pPr>
              <w:jc w:val="right"/>
              <w:ind w:right="610"/>
              <w:spacing w:after="0"/>
              <w:rPr>
                <w:sz w:val="20"/>
                <w:szCs w:val="20"/>
                <w:color w:val="auto"/>
              </w:rPr>
            </w:pPr>
            <w:r>
              <w:rPr>
                <w:rFonts w:ascii="Arial" w:cs="Arial" w:eastAsia="Arial" w:hAnsi="Arial"/>
                <w:sz w:val="18"/>
                <w:szCs w:val="18"/>
                <w:color w:val="auto"/>
              </w:rPr>
              <w:t>9</w:t>
            </w: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220"/>
          </w:cols>
          <w:pgMar w:left="320" w:top="1229" w:right="359"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Unaudited Consolidated Statements of Income</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2"/>
        </w:trPr>
        <w:tc>
          <w:tcPr>
            <w:tcW w:w="7080" w:type="dxa"/>
            <w:vAlign w:val="bottom"/>
          </w:tcPr>
          <w:p>
            <w:pPr>
              <w:ind w:left="20"/>
              <w:spacing w:after="0"/>
              <w:rPr>
                <w:sz w:val="20"/>
                <w:szCs w:val="20"/>
                <w:color w:val="auto"/>
              </w:rPr>
            </w:pPr>
            <w:r>
              <w:rPr>
                <w:rFonts w:ascii="Arial" w:cs="Arial" w:eastAsia="Arial" w:hAnsi="Arial"/>
                <w:sz w:val="14"/>
                <w:szCs w:val="14"/>
                <w:b w:val="1"/>
                <w:bCs w:val="1"/>
                <w:color w:val="auto"/>
              </w:rPr>
              <w:t>(in millions, except per-share amounts)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70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gridSpan w:val="4"/>
            <w:shd w:val="clear" w:color="auto" w:fill="CCEEFF"/>
          </w:tcPr>
          <w:p>
            <w:pPr>
              <w:ind w:left="100"/>
              <w:spacing w:after="0"/>
              <w:rPr>
                <w:sz w:val="20"/>
                <w:szCs w:val="20"/>
                <w:color w:val="auto"/>
              </w:rPr>
            </w:pPr>
            <w:r>
              <w:rPr>
                <w:rFonts w:ascii="Arial" w:cs="Arial" w:eastAsia="Arial" w:hAnsi="Arial"/>
                <w:sz w:val="14"/>
                <w:szCs w:val="14"/>
                <w:color w:val="auto"/>
              </w:rPr>
              <w:t>Three months ended</w:t>
            </w: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r>
      <w:tr>
        <w:trPr>
          <w:trHeight w:val="195"/>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Revenues</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3/31/2022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3/31/2021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12/31/2021</w:t>
            </w:r>
          </w:p>
        </w:tc>
      </w:tr>
      <w:tr>
        <w:trPr>
          <w:trHeight w:val="197"/>
        </w:trPr>
        <w:tc>
          <w:tcPr>
            <w:tcW w:w="7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Investment advisory fees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1,662.1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1,687.8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1,809.7</w:t>
            </w:r>
          </w:p>
        </w:tc>
      </w:tr>
      <w:tr>
        <w:trPr>
          <w:trHeight w:val="198"/>
        </w:trPr>
        <w:tc>
          <w:tcPr>
            <w:tcW w:w="7080" w:type="dxa"/>
            <w:vAlign w:val="bottom"/>
          </w:tcPr>
          <w:p>
            <w:pPr>
              <w:ind w:left="100"/>
              <w:spacing w:after="0"/>
              <w:rPr>
                <w:sz w:val="20"/>
                <w:szCs w:val="20"/>
                <w:color w:val="auto"/>
              </w:rPr>
            </w:pPr>
            <w:r>
              <w:rPr>
                <w:rFonts w:ascii="Arial" w:cs="Arial" w:eastAsia="Arial" w:hAnsi="Arial"/>
                <w:sz w:val="14"/>
                <w:szCs w:val="14"/>
                <w:color w:val="auto"/>
              </w:rPr>
              <w:t>Capital allocation-based income</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44.4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Administrative, distribution, and servicing fees</w:t>
            </w: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152.0</w:t>
            </w:r>
          </w:p>
        </w:tc>
      </w:tr>
      <w:tr>
        <w:trPr>
          <w:trHeight w:val="230"/>
        </w:trPr>
        <w:tc>
          <w:tcPr>
            <w:tcW w:w="7080" w:type="dxa"/>
            <w:vAlign w:val="bottom"/>
            <w:tcBorders>
              <w:bottom w:val="single" w:sz="8" w:color="CCEEFF"/>
            </w:tcBorders>
          </w:tcPr>
          <w:p>
            <w:pPr>
              <w:ind w:left="100"/>
              <w:spacing w:after="0"/>
              <w:rPr>
                <w:sz w:val="20"/>
                <w:szCs w:val="20"/>
                <w:color w:val="auto"/>
              </w:rPr>
            </w:pPr>
            <w:r>
              <w:rPr>
                <w:rFonts w:ascii="Arial" w:cs="Arial" w:eastAsia="Arial" w:hAnsi="Arial"/>
                <w:sz w:val="14"/>
                <w:szCs w:val="14"/>
                <w:b w:val="1"/>
                <w:bCs w:val="1"/>
                <w:color w:val="auto"/>
              </w:rPr>
              <w:t>Net revenues</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b w:val="1"/>
                <w:bCs w:val="1"/>
                <w:color w:val="auto"/>
              </w:rPr>
              <w:t>1,863.0</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b w:val="1"/>
                <w:bCs w:val="1"/>
                <w:color w:val="auto"/>
              </w:rPr>
              <w:t>1,826.8</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4"/>
                <w:szCs w:val="14"/>
                <w:b w:val="1"/>
                <w:bCs w:val="1"/>
                <w:color w:val="auto"/>
              </w:rPr>
              <w:t>1,961.7</w:t>
            </w:r>
          </w:p>
        </w:tc>
      </w:tr>
      <w:tr>
        <w:trPr>
          <w:trHeight w:val="201"/>
        </w:trPr>
        <w:tc>
          <w:tcPr>
            <w:tcW w:w="7080" w:type="dxa"/>
            <w:vAlign w:val="bottom"/>
          </w:tcPr>
          <w:p>
            <w:pPr>
              <w:ind w:left="20"/>
              <w:spacing w:after="0"/>
              <w:rPr>
                <w:sz w:val="20"/>
                <w:szCs w:val="20"/>
                <w:color w:val="auto"/>
              </w:rPr>
            </w:pPr>
            <w:r>
              <w:rPr>
                <w:rFonts w:ascii="Arial" w:cs="Arial" w:eastAsia="Arial" w:hAnsi="Arial"/>
                <w:sz w:val="14"/>
                <w:szCs w:val="14"/>
                <w:b w:val="1"/>
                <w:bCs w:val="1"/>
                <w:color w:val="auto"/>
              </w:rPr>
              <w:t>Operating expenses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4"/>
        </w:trPr>
        <w:tc>
          <w:tcPr>
            <w:tcW w:w="70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Compensation and related costs, excluding supplemental savings plan</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607.7</w:t>
            </w:r>
          </w:p>
        </w:tc>
      </w:tr>
      <w:tr>
        <w:trPr>
          <w:trHeight w:val="198"/>
        </w:trPr>
        <w:tc>
          <w:tcPr>
            <w:tcW w:w="70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Supplemental savings plan</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w:t>
            </w:r>
          </w:p>
        </w:tc>
      </w:tr>
      <w:tr>
        <w:trPr>
          <w:trHeight w:val="200"/>
        </w:trPr>
        <w:tc>
          <w:tcPr>
            <w:tcW w:w="7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Compensation and related costs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631.1</w:t>
            </w:r>
          </w:p>
        </w:tc>
      </w:tr>
      <w:tr>
        <w:trPr>
          <w:trHeight w:val="198"/>
        </w:trPr>
        <w:tc>
          <w:tcPr>
            <w:tcW w:w="7080" w:type="dxa"/>
            <w:vAlign w:val="bottom"/>
          </w:tcPr>
          <w:p>
            <w:pPr>
              <w:ind w:left="100"/>
              <w:spacing w:after="0"/>
              <w:rPr>
                <w:sz w:val="20"/>
                <w:szCs w:val="20"/>
                <w:color w:val="auto"/>
              </w:rPr>
            </w:pPr>
            <w:r>
              <w:rPr>
                <w:rFonts w:ascii="Arial" w:cs="Arial" w:eastAsia="Arial" w:hAnsi="Arial"/>
                <w:sz w:val="14"/>
                <w:szCs w:val="14"/>
                <w:color w:val="auto"/>
              </w:rPr>
              <w:t>Distribution and servicing</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85.9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85.6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99.6</w:t>
            </w:r>
          </w:p>
        </w:tc>
      </w:tr>
      <w:tr>
        <w:trPr>
          <w:trHeight w:val="207"/>
        </w:trPr>
        <w:tc>
          <w:tcPr>
            <w:tcW w:w="7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Advertising and promotion</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r>
      <w:tr>
        <w:trPr>
          <w:trHeight w:val="198"/>
        </w:trPr>
        <w:tc>
          <w:tcPr>
            <w:tcW w:w="7080" w:type="dxa"/>
            <w:vAlign w:val="bottom"/>
          </w:tcPr>
          <w:p>
            <w:pPr>
              <w:ind w:left="100"/>
              <w:spacing w:after="0"/>
              <w:rPr>
                <w:sz w:val="20"/>
                <w:szCs w:val="20"/>
                <w:color w:val="auto"/>
              </w:rPr>
            </w:pPr>
            <w:r>
              <w:rPr>
                <w:rFonts w:ascii="Arial" w:cs="Arial" w:eastAsia="Arial" w:hAnsi="Arial"/>
                <w:sz w:val="14"/>
                <w:szCs w:val="14"/>
                <w:color w:val="auto"/>
              </w:rPr>
              <w:t>Product and recordkeeping related costs</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80.4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81.7</w:t>
            </w:r>
          </w:p>
        </w:tc>
      </w:tr>
      <w:tr>
        <w:trPr>
          <w:trHeight w:val="207"/>
        </w:trPr>
        <w:tc>
          <w:tcPr>
            <w:tcW w:w="7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Technology, occupancy, and facility costs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125.2</w:t>
            </w:r>
          </w:p>
        </w:tc>
      </w:tr>
      <w:tr>
        <w:trPr>
          <w:trHeight w:val="198"/>
        </w:trPr>
        <w:tc>
          <w:tcPr>
            <w:tcW w:w="70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General, administrative, and other</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122.8</w:t>
            </w:r>
          </w:p>
        </w:tc>
      </w:tr>
      <w:tr>
        <w:trPr>
          <w:trHeight w:val="199"/>
        </w:trPr>
        <w:tc>
          <w:tcPr>
            <w:tcW w:w="708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Total operating expenses</w:t>
            </w: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985.6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933.6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1,099.2</w:t>
            </w:r>
          </w:p>
        </w:tc>
      </w:tr>
      <w:tr>
        <w:trPr>
          <w:trHeight w:val="89"/>
        </w:trPr>
        <w:tc>
          <w:tcPr>
            <w:tcW w:w="70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tcPr>
          <w:p>
            <w:pPr>
              <w:spacing w:after="0"/>
              <w:rPr>
                <w:sz w:val="7"/>
                <w:szCs w:val="7"/>
                <w:color w:val="auto"/>
              </w:rPr>
            </w:pPr>
          </w:p>
        </w:tc>
      </w:tr>
      <w:tr>
        <w:trPr>
          <w:trHeight w:val="203"/>
        </w:trPr>
        <w:tc>
          <w:tcPr>
            <w:tcW w:w="7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operating income</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877.4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893.2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862.5</w:t>
            </w:r>
          </w:p>
        </w:tc>
      </w:tr>
      <w:tr>
        <w:trPr>
          <w:trHeight w:val="108"/>
        </w:trPr>
        <w:tc>
          <w:tcPr>
            <w:tcW w:w="7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03"/>
        </w:trPr>
        <w:tc>
          <w:tcPr>
            <w:tcW w:w="7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Non-operating income (loss)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98"/>
        </w:trPr>
        <w:tc>
          <w:tcPr>
            <w:tcW w:w="7080" w:type="dxa"/>
            <w:vAlign w:val="bottom"/>
          </w:tcPr>
          <w:p>
            <w:pPr>
              <w:ind w:left="140"/>
              <w:spacing w:after="0"/>
              <w:rPr>
                <w:sz w:val="20"/>
                <w:szCs w:val="20"/>
                <w:color w:val="auto"/>
              </w:rPr>
            </w:pPr>
            <w:r>
              <w:rPr>
                <w:rFonts w:ascii="Arial" w:cs="Arial" w:eastAsia="Arial" w:hAnsi="Arial"/>
                <w:sz w:val="14"/>
                <w:szCs w:val="14"/>
                <w:color w:val="auto"/>
              </w:rPr>
              <w:t>Net gains (losses) on investments</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(89.9)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68.6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50.8</w:t>
            </w:r>
          </w:p>
        </w:tc>
      </w:tr>
      <w:tr>
        <w:trPr>
          <w:trHeight w:val="207"/>
        </w:trPr>
        <w:tc>
          <w:tcPr>
            <w:tcW w:w="7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gains (losses) on consolidated investment products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98"/>
        </w:trPr>
        <w:tc>
          <w:tcPr>
            <w:tcW w:w="70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income (loss)</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199"/>
        </w:trPr>
        <w:tc>
          <w:tcPr>
            <w:tcW w:w="708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Total non-operating income (loss)</w:t>
            </w: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(198.5)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102.1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50.1</w:t>
            </w:r>
          </w:p>
        </w:tc>
      </w:tr>
      <w:tr>
        <w:trPr>
          <w:trHeight w:val="89"/>
        </w:trPr>
        <w:tc>
          <w:tcPr>
            <w:tcW w:w="70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tcPr>
          <w:p>
            <w:pPr>
              <w:spacing w:after="0"/>
              <w:rPr>
                <w:sz w:val="7"/>
                <w:szCs w:val="7"/>
                <w:color w:val="auto"/>
              </w:rPr>
            </w:pPr>
          </w:p>
        </w:tc>
      </w:tr>
      <w:tr>
        <w:trPr>
          <w:trHeight w:val="203"/>
        </w:trPr>
        <w:tc>
          <w:tcPr>
            <w:tcW w:w="7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995.3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912.6</w:t>
            </w:r>
          </w:p>
        </w:tc>
      </w:tr>
      <w:tr>
        <w:trPr>
          <w:trHeight w:val="198"/>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income taxes</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179.0</w:t>
            </w:r>
          </w:p>
        </w:tc>
      </w:tr>
      <w:tr>
        <w:trPr>
          <w:trHeight w:val="200"/>
        </w:trPr>
        <w:tc>
          <w:tcPr>
            <w:tcW w:w="7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733.6</w:t>
            </w:r>
          </w:p>
        </w:tc>
      </w:tr>
      <w:tr>
        <w:trPr>
          <w:trHeight w:val="198"/>
        </w:trPr>
        <w:tc>
          <w:tcPr>
            <w:tcW w:w="70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Less: net income (loss) attributable to redeemable non-controlling interests</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r>
      <w:tr>
        <w:trPr>
          <w:trHeight w:val="200"/>
        </w:trPr>
        <w:tc>
          <w:tcPr>
            <w:tcW w:w="7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T. Rowe Price</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567.9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749.4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740.6</w:t>
            </w:r>
          </w:p>
        </w:tc>
      </w:tr>
      <w:tr>
        <w:trPr>
          <w:trHeight w:val="198"/>
        </w:trPr>
        <w:tc>
          <w:tcPr>
            <w:tcW w:w="70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Less: net income allocated to outstanding restricted stock and stock unit holders</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w:t>
            </w:r>
          </w:p>
        </w:tc>
      </w:tr>
      <w:tr>
        <w:trPr>
          <w:trHeight w:val="220"/>
        </w:trPr>
        <w:tc>
          <w:tcPr>
            <w:tcW w:w="7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allocated to T. Rowe Price common stockholders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554.9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729.5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721.7</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7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03"/>
        </w:trPr>
        <w:tc>
          <w:tcPr>
            <w:tcW w:w="7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Earnings per share</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3"/>
        </w:trPr>
        <w:tc>
          <w:tcPr>
            <w:tcW w:w="7080" w:type="dxa"/>
            <w:vAlign w:val="bottom"/>
          </w:tcPr>
          <w:p>
            <w:pPr>
              <w:ind w:left="100"/>
              <w:spacing w:after="0"/>
              <w:rPr>
                <w:sz w:val="20"/>
                <w:szCs w:val="20"/>
                <w:color w:val="auto"/>
              </w:rPr>
            </w:pPr>
            <w:r>
              <w:rPr>
                <w:rFonts w:ascii="Arial" w:cs="Arial" w:eastAsia="Arial" w:hAnsi="Arial"/>
                <w:sz w:val="14"/>
                <w:szCs w:val="14"/>
                <w:color w:val="auto"/>
              </w:rPr>
              <w:t>Basic</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2.43</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3.20</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3.21</w:t>
            </w: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16"/>
        </w:trPr>
        <w:tc>
          <w:tcPr>
            <w:tcW w:w="708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Diluted</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3.18</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95"/>
        </w:trPr>
        <w:tc>
          <w:tcPr>
            <w:tcW w:w="7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r>
      <w:tr>
        <w:trPr>
          <w:trHeight w:val="203"/>
        </w:trPr>
        <w:tc>
          <w:tcPr>
            <w:tcW w:w="7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common shares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3"/>
        </w:trPr>
        <w:tc>
          <w:tcPr>
            <w:tcW w:w="7080" w:type="dxa"/>
            <w:vAlign w:val="bottom"/>
          </w:tcPr>
          <w:p>
            <w:pPr>
              <w:ind w:left="100"/>
              <w:spacing w:after="0"/>
              <w:rPr>
                <w:sz w:val="20"/>
                <w:szCs w:val="20"/>
                <w:color w:val="auto"/>
              </w:rPr>
            </w:pPr>
            <w:r>
              <w:rPr>
                <w:rFonts w:ascii="Arial" w:cs="Arial" w:eastAsia="Arial" w:hAnsi="Arial"/>
                <w:sz w:val="14"/>
                <w:szCs w:val="14"/>
                <w:color w:val="auto"/>
              </w:rPr>
              <w:t>Outstanding</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228.2</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227.7</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224.9</w:t>
            </w: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2"/>
        </w:trPr>
        <w:tc>
          <w:tcPr>
            <w:tcW w:w="7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Outstanding assuming dilution</w:t>
            </w: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226.9</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936"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The following table presents investment advisory revenues for the three months ended March 31, 2022 and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Investment Advisory Revenues (in millions)</w:t>
            </w: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540" w:type="dxa"/>
            <w:vAlign w:val="bottom"/>
            <w:tcBorders>
              <w:bottom w:val="single" w:sz="8" w:color="auto"/>
            </w:tcBorders>
            <w:gridSpan w:val="4"/>
            <w:shd w:val="clear" w:color="auto" w:fill="CCEEFF"/>
          </w:tcPr>
          <w:p>
            <w:pPr>
              <w:jc w:val="right"/>
              <w:ind w:right="648"/>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92"/>
        </w:trPr>
        <w:tc>
          <w:tcPr>
            <w:tcW w:w="554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3/31/2022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rPr>
              <w:t>3/31/2021</w:t>
            </w:r>
          </w:p>
        </w:tc>
        <w:tc>
          <w:tcPr>
            <w:tcW w:w="0" w:type="dxa"/>
            <w:vAlign w:val="bottom"/>
          </w:tcPr>
          <w:p>
            <w:pPr>
              <w:spacing w:after="0"/>
              <w:rPr>
                <w:sz w:val="1"/>
                <w:szCs w:val="1"/>
                <w:color w:val="auto"/>
              </w:rPr>
            </w:pPr>
          </w:p>
        </w:tc>
      </w:tr>
      <w:tr>
        <w:trPr>
          <w:trHeight w:val="187"/>
        </w:trPr>
        <w:tc>
          <w:tcPr>
            <w:tcW w:w="5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mutual funds</w:t>
            </w:r>
          </w:p>
        </w:tc>
        <w:tc>
          <w:tcPr>
            <w:tcW w:w="7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540" w:type="dxa"/>
            <w:vAlign w:val="bottom"/>
          </w:tcPr>
          <w:p>
            <w:pPr>
              <w:ind w:left="140"/>
              <w:spacing w:after="0"/>
              <w:rPr>
                <w:sz w:val="20"/>
                <w:szCs w:val="20"/>
                <w:color w:val="auto"/>
              </w:rPr>
            </w:pPr>
            <w:r>
              <w:rPr>
                <w:rFonts w:ascii="Arial" w:cs="Arial" w:eastAsia="Arial" w:hAnsi="Arial"/>
                <w:sz w:val="14"/>
                <w:szCs w:val="14"/>
                <w:color w:val="auto"/>
              </w:rPr>
              <w:t>Equity</w:t>
            </w: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691.9</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729.8</w:t>
            </w:r>
          </w:p>
        </w:tc>
        <w:tc>
          <w:tcPr>
            <w:tcW w:w="0" w:type="dxa"/>
            <w:vAlign w:val="bottom"/>
          </w:tcPr>
          <w:p>
            <w:pPr>
              <w:spacing w:after="0"/>
              <w:rPr>
                <w:sz w:val="1"/>
                <w:szCs w:val="1"/>
                <w:color w:val="auto"/>
              </w:rPr>
            </w:pPr>
          </w:p>
        </w:tc>
      </w:tr>
      <w:tr>
        <w:trPr>
          <w:trHeight w:val="207"/>
        </w:trPr>
        <w:tc>
          <w:tcPr>
            <w:tcW w:w="5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Fixed income, including money market</w:t>
            </w: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w:t>
            </w:r>
          </w:p>
        </w:tc>
        <w:tc>
          <w:tcPr>
            <w:tcW w:w="0" w:type="dxa"/>
            <w:vAlign w:val="bottom"/>
          </w:tcPr>
          <w:p>
            <w:pPr>
              <w:spacing w:after="0"/>
              <w:rPr>
                <w:sz w:val="1"/>
                <w:szCs w:val="1"/>
                <w:color w:val="auto"/>
              </w:rPr>
            </w:pPr>
          </w:p>
        </w:tc>
      </w:tr>
      <w:tr>
        <w:trPr>
          <w:trHeight w:val="198"/>
        </w:trPr>
        <w:tc>
          <w:tcPr>
            <w:tcW w:w="55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Multi-asset</w:t>
            </w:r>
          </w:p>
        </w:tc>
        <w:tc>
          <w:tcPr>
            <w:tcW w:w="7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261.4</w:t>
            </w:r>
          </w:p>
        </w:tc>
        <w:tc>
          <w:tcPr>
            <w:tcW w:w="0" w:type="dxa"/>
            <w:vAlign w:val="bottom"/>
          </w:tcPr>
          <w:p>
            <w:pPr>
              <w:spacing w:after="0"/>
              <w:rPr>
                <w:sz w:val="1"/>
                <w:szCs w:val="1"/>
                <w:color w:val="auto"/>
              </w:rPr>
            </w:pPr>
          </w:p>
        </w:tc>
      </w:tr>
      <w:tr>
        <w:trPr>
          <w:trHeight w:val="200"/>
        </w:trPr>
        <w:tc>
          <w:tcPr>
            <w:tcW w:w="55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976.5</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1,050.2</w:t>
            </w:r>
          </w:p>
        </w:tc>
        <w:tc>
          <w:tcPr>
            <w:tcW w:w="0" w:type="dxa"/>
            <w:vAlign w:val="bottom"/>
          </w:tcPr>
          <w:p>
            <w:pPr>
              <w:spacing w:after="0"/>
              <w:rPr>
                <w:sz w:val="1"/>
                <w:szCs w:val="1"/>
                <w:color w:val="auto"/>
              </w:rPr>
            </w:pPr>
          </w:p>
        </w:tc>
      </w:tr>
      <w:tr>
        <w:trPr>
          <w:trHeight w:val="178"/>
        </w:trPr>
        <w:tc>
          <w:tcPr>
            <w:tcW w:w="6240" w:type="dxa"/>
            <w:vAlign w:val="bottom"/>
            <w:gridSpan w:val="2"/>
          </w:tcPr>
          <w:p>
            <w:pPr>
              <w:ind w:left="20"/>
              <w:spacing w:after="0"/>
              <w:rPr>
                <w:sz w:val="20"/>
                <w:szCs w:val="20"/>
                <w:color w:val="auto"/>
              </w:rPr>
            </w:pPr>
            <w:r>
              <w:rPr>
                <w:rFonts w:ascii="Arial" w:cs="Arial" w:eastAsia="Arial" w:hAnsi="Arial"/>
                <w:sz w:val="14"/>
                <w:szCs w:val="14"/>
                <w:color w:val="auto"/>
              </w:rPr>
              <w:t>Subadvised funds, separate accounts, collective investment trusts, and other investment products</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w:t>
            </w: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424.2</w:t>
            </w:r>
          </w:p>
        </w:tc>
        <w:tc>
          <w:tcPr>
            <w:tcW w:w="0" w:type="dxa"/>
            <w:vAlign w:val="bottom"/>
          </w:tcPr>
          <w:p>
            <w:pPr>
              <w:spacing w:after="0"/>
              <w:rPr>
                <w:sz w:val="1"/>
                <w:szCs w:val="1"/>
                <w:color w:val="auto"/>
              </w:rPr>
            </w:pPr>
          </w:p>
        </w:tc>
      </w:tr>
      <w:tr>
        <w:trPr>
          <w:trHeight w:val="198"/>
        </w:trPr>
        <w:tc>
          <w:tcPr>
            <w:tcW w:w="5540" w:type="dxa"/>
            <w:vAlign w:val="bottom"/>
          </w:tcPr>
          <w:p>
            <w:pPr>
              <w:ind w:left="140"/>
              <w:spacing w:after="0"/>
              <w:rPr>
                <w:sz w:val="20"/>
                <w:szCs w:val="20"/>
                <w:color w:val="auto"/>
              </w:rPr>
            </w:pPr>
            <w:r>
              <w:rPr>
                <w:rFonts w:ascii="Arial" w:cs="Arial" w:eastAsia="Arial" w:hAnsi="Arial"/>
                <w:sz w:val="14"/>
                <w:szCs w:val="14"/>
                <w:color w:val="auto"/>
              </w:rPr>
              <w:t>Fixed income, including money market</w:t>
            </w: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42.6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207"/>
        </w:trPr>
        <w:tc>
          <w:tcPr>
            <w:tcW w:w="5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Multi-asset</w:t>
            </w: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175.9</w:t>
            </w:r>
          </w:p>
        </w:tc>
        <w:tc>
          <w:tcPr>
            <w:tcW w:w="0" w:type="dxa"/>
            <w:vAlign w:val="bottom"/>
          </w:tcPr>
          <w:p>
            <w:pPr>
              <w:spacing w:after="0"/>
              <w:rPr>
                <w:sz w:val="1"/>
                <w:szCs w:val="1"/>
                <w:color w:val="auto"/>
              </w:rPr>
            </w:pPr>
          </w:p>
        </w:tc>
      </w:tr>
      <w:tr>
        <w:trPr>
          <w:trHeight w:val="198"/>
        </w:trPr>
        <w:tc>
          <w:tcPr>
            <w:tcW w:w="55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Alternatives</w:t>
            </w:r>
          </w:p>
        </w:tc>
        <w:tc>
          <w:tcPr>
            <w:tcW w:w="7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5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685.6</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637.6</w:t>
            </w:r>
          </w:p>
        </w:tc>
        <w:tc>
          <w:tcPr>
            <w:tcW w:w="0" w:type="dxa"/>
            <w:vAlign w:val="bottom"/>
          </w:tcPr>
          <w:p>
            <w:pPr>
              <w:spacing w:after="0"/>
              <w:rPr>
                <w:sz w:val="1"/>
                <w:szCs w:val="1"/>
                <w:color w:val="auto"/>
              </w:rPr>
            </w:pPr>
          </w:p>
        </w:tc>
      </w:tr>
      <w:tr>
        <w:trPr>
          <w:trHeight w:val="200"/>
        </w:trPr>
        <w:tc>
          <w:tcPr>
            <w:tcW w:w="5540" w:type="dxa"/>
            <w:vAlign w:val="bottom"/>
          </w:tcPr>
          <w:p>
            <w:pPr>
              <w:ind w:left="20"/>
              <w:spacing w:after="0"/>
              <w:rPr>
                <w:sz w:val="20"/>
                <w:szCs w:val="20"/>
                <w:color w:val="auto"/>
              </w:rPr>
            </w:pPr>
            <w:r>
              <w:rPr>
                <w:rFonts w:ascii="Arial" w:cs="Arial" w:eastAsia="Arial" w:hAnsi="Arial"/>
                <w:sz w:val="14"/>
                <w:szCs w:val="14"/>
                <w:color w:val="auto"/>
              </w:rPr>
              <w:t>Total investment advisory revenues</w:t>
            </w: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1,662.1</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1,687.8</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5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 Under Management (in billions)</w:t>
            </w:r>
          </w:p>
        </w:tc>
        <w:tc>
          <w:tcPr>
            <w:tcW w:w="700" w:type="dxa"/>
            <w:vAlign w:val="bottom"/>
            <w:tcBorders>
              <w:bottom w:val="single" w:sz="8" w:color="auto"/>
            </w:tcBorders>
            <w:shd w:val="clear" w:color="auto" w:fill="CCEEFF"/>
          </w:tcPr>
          <w:p>
            <w:pPr>
              <w:spacing w:after="0"/>
              <w:rPr>
                <w:sz w:val="17"/>
                <w:szCs w:val="17"/>
                <w:color w:val="auto"/>
              </w:rPr>
            </w:pPr>
          </w:p>
        </w:tc>
        <w:tc>
          <w:tcPr>
            <w:tcW w:w="2160" w:type="dxa"/>
            <w:vAlign w:val="bottom"/>
            <w:tcBorders>
              <w:bottom w:val="single" w:sz="8" w:color="auto"/>
              <w:right w:val="single" w:sz="8" w:color="auto"/>
            </w:tcBorders>
            <w:gridSpan w:val="5"/>
            <w:shd w:val="clear" w:color="auto" w:fill="CCEEFF"/>
          </w:tcPr>
          <w:p>
            <w:pPr>
              <w:ind w:left="240"/>
              <w:spacing w:after="0"/>
              <w:rPr>
                <w:sz w:val="20"/>
                <w:szCs w:val="20"/>
                <w:color w:val="auto"/>
              </w:rPr>
            </w:pPr>
            <w:r>
              <w:rPr>
                <w:rFonts w:ascii="Arial" w:cs="Arial" w:eastAsia="Arial" w:hAnsi="Arial"/>
                <w:sz w:val="14"/>
                <w:szCs w:val="14"/>
                <w:color w:val="auto"/>
              </w:rPr>
              <w:t>Average during</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16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rPr>
              <w:t>Three months ended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color w:val="auto"/>
              </w:rPr>
              <w:t>As of</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54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3/31/2022</w:t>
            </w: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3/31/2021</w:t>
            </w: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3/31/2022</w:t>
            </w:r>
          </w:p>
        </w:tc>
        <w:tc>
          <w:tcPr>
            <w:tcW w:w="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center"/>
              <w:ind w:right="88"/>
              <w:spacing w:after="0"/>
              <w:rPr>
                <w:sz w:val="20"/>
                <w:szCs w:val="20"/>
                <w:color w:val="auto"/>
              </w:rPr>
            </w:pPr>
            <w:r>
              <w:rPr>
                <w:rFonts w:ascii="Arial" w:cs="Arial" w:eastAsia="Arial" w:hAnsi="Arial"/>
                <w:sz w:val="14"/>
                <w:szCs w:val="14"/>
                <w:color w:val="auto"/>
              </w:rPr>
              <w:t>12/31/2021</w:t>
            </w:r>
          </w:p>
        </w:tc>
        <w:tc>
          <w:tcPr>
            <w:tcW w:w="0" w:type="dxa"/>
            <w:vAlign w:val="bottom"/>
          </w:tcPr>
          <w:p>
            <w:pPr>
              <w:spacing w:after="0"/>
              <w:rPr>
                <w:sz w:val="1"/>
                <w:szCs w:val="1"/>
                <w:color w:val="auto"/>
              </w:rPr>
            </w:pPr>
          </w:p>
        </w:tc>
      </w:tr>
      <w:tr>
        <w:trPr>
          <w:trHeight w:val="178"/>
        </w:trPr>
        <w:tc>
          <w:tcPr>
            <w:tcW w:w="5540" w:type="dxa"/>
            <w:vAlign w:val="bottom"/>
          </w:tcPr>
          <w:p>
            <w:pPr>
              <w:ind w:left="20"/>
              <w:spacing w:after="0"/>
              <w:rPr>
                <w:sz w:val="20"/>
                <w:szCs w:val="20"/>
                <w:color w:val="auto"/>
              </w:rPr>
            </w:pPr>
            <w:r>
              <w:rPr>
                <w:rFonts w:ascii="Arial" w:cs="Arial" w:eastAsia="Arial" w:hAnsi="Arial"/>
                <w:sz w:val="14"/>
                <w:szCs w:val="14"/>
                <w:color w:val="auto"/>
              </w:rPr>
              <w:t>U.S. mutual funds</w:t>
            </w: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w:t>
            </w:r>
          </w:p>
        </w:tc>
        <w:tc>
          <w:tcPr>
            <w:tcW w:w="7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491.3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509.6</w:t>
            </w: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553.9</w:t>
            </w:r>
          </w:p>
        </w:tc>
        <w:tc>
          <w:tcPr>
            <w:tcW w:w="0" w:type="dxa"/>
            <w:vAlign w:val="bottom"/>
          </w:tcPr>
          <w:p>
            <w:pPr>
              <w:spacing w:after="0"/>
              <w:rPr>
                <w:sz w:val="1"/>
                <w:szCs w:val="1"/>
                <w:color w:val="auto"/>
              </w:rPr>
            </w:pPr>
          </w:p>
        </w:tc>
      </w:tr>
      <w:tr>
        <w:trPr>
          <w:trHeight w:val="198"/>
        </w:trPr>
        <w:tc>
          <w:tcPr>
            <w:tcW w:w="5540" w:type="dxa"/>
            <w:vAlign w:val="bottom"/>
          </w:tcPr>
          <w:p>
            <w:pPr>
              <w:ind w:left="140"/>
              <w:spacing w:after="0"/>
              <w:rPr>
                <w:sz w:val="20"/>
                <w:szCs w:val="20"/>
                <w:color w:val="auto"/>
              </w:rPr>
            </w:pPr>
            <w:r>
              <w:rPr>
                <w:rFonts w:ascii="Arial" w:cs="Arial" w:eastAsia="Arial" w:hAnsi="Arial"/>
                <w:sz w:val="14"/>
                <w:szCs w:val="14"/>
                <w:color w:val="auto"/>
              </w:rPr>
              <w:t>Fixed income, including money market</w:t>
            </w:r>
          </w:p>
        </w:tc>
        <w:tc>
          <w:tcPr>
            <w:tcW w:w="70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86.4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82.3</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83.9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85.3</w:t>
            </w:r>
          </w:p>
        </w:tc>
        <w:tc>
          <w:tcPr>
            <w:tcW w:w="0" w:type="dxa"/>
            <w:vAlign w:val="bottom"/>
          </w:tcPr>
          <w:p>
            <w:pPr>
              <w:spacing w:after="0"/>
              <w:rPr>
                <w:sz w:val="1"/>
                <w:szCs w:val="1"/>
                <w:color w:val="auto"/>
              </w:rPr>
            </w:pPr>
          </w:p>
        </w:tc>
      </w:tr>
      <w:tr>
        <w:trPr>
          <w:trHeight w:val="203"/>
        </w:trPr>
        <w:tc>
          <w:tcPr>
            <w:tcW w:w="5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Multi-asset</w:t>
            </w:r>
          </w:p>
        </w:tc>
        <w:tc>
          <w:tcPr>
            <w:tcW w:w="7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220.3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222.6</w:t>
            </w: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216.5</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232.2</w:t>
            </w:r>
          </w:p>
        </w:tc>
        <w:tc>
          <w:tcPr>
            <w:tcW w:w="0" w:type="dxa"/>
            <w:vAlign w:val="bottom"/>
          </w:tcPr>
          <w:p>
            <w:pPr>
              <w:spacing w:after="0"/>
              <w:rPr>
                <w:sz w:val="1"/>
                <w:szCs w:val="1"/>
                <w:color w:val="auto"/>
              </w:rPr>
            </w:pPr>
          </w:p>
        </w:tc>
      </w:tr>
      <w:tr>
        <w:trPr>
          <w:trHeight w:val="239"/>
        </w:trPr>
        <w:tc>
          <w:tcPr>
            <w:tcW w:w="554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798.0</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814.5</w:t>
            </w:r>
          </w:p>
        </w:tc>
        <w:tc>
          <w:tcPr>
            <w:tcW w:w="140" w:type="dxa"/>
            <w:vAlign w:val="bottom"/>
            <w:tcBorders>
              <w:bottom w:val="single" w:sz="8" w:color="CCEEFF"/>
              <w:right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789.4</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871.4</w:t>
            </w:r>
          </w:p>
        </w:tc>
        <w:tc>
          <w:tcPr>
            <w:tcW w:w="0" w:type="dxa"/>
            <w:vAlign w:val="bottom"/>
          </w:tcPr>
          <w:p>
            <w:pPr>
              <w:spacing w:after="0"/>
              <w:rPr>
                <w:sz w:val="1"/>
                <w:szCs w:val="1"/>
                <w:color w:val="auto"/>
              </w:rPr>
            </w:pPr>
          </w:p>
        </w:tc>
      </w:tr>
      <w:tr>
        <w:trPr>
          <w:trHeight w:val="148"/>
        </w:trPr>
        <w:tc>
          <w:tcPr>
            <w:tcW w:w="5540" w:type="dxa"/>
            <w:vAlign w:val="bottom"/>
            <w:tcBorders>
              <w:top w:val="single" w:sz="8" w:color="CCEEFF"/>
            </w:tcBorders>
          </w:tcPr>
          <w:p>
            <w:pPr>
              <w:ind w:left="20"/>
              <w:spacing w:after="0" w:line="149" w:lineRule="exact"/>
              <w:rPr>
                <w:sz w:val="20"/>
                <w:szCs w:val="20"/>
                <w:color w:val="auto"/>
              </w:rPr>
            </w:pPr>
            <w:r>
              <w:rPr>
                <w:rFonts w:ascii="Arial" w:cs="Arial" w:eastAsia="Arial" w:hAnsi="Arial"/>
                <w:sz w:val="14"/>
                <w:szCs w:val="14"/>
                <w:color w:val="auto"/>
              </w:rPr>
              <w:t>Subadvised funds, separate accounts, collective investment trusts, and other</w:t>
            </w:r>
          </w:p>
        </w:tc>
        <w:tc>
          <w:tcPr>
            <w:tcW w:w="70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80" w:type="dxa"/>
            <w:vAlign w:val="bottom"/>
            <w:tcBorders>
              <w:top w:val="single" w:sz="8" w:color="CCEEFF"/>
            </w:tcBorders>
          </w:tcPr>
          <w:p>
            <w:pPr>
              <w:spacing w:after="0"/>
              <w:rPr>
                <w:sz w:val="12"/>
                <w:szCs w:val="12"/>
                <w:color w:val="auto"/>
              </w:rPr>
            </w:pPr>
          </w:p>
        </w:tc>
        <w:tc>
          <w:tcPr>
            <w:tcW w:w="140" w:type="dxa"/>
            <w:vAlign w:val="bottom"/>
            <w:tcBorders>
              <w:top w:val="single" w:sz="8" w:color="CCEEFF"/>
              <w:right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1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540" w:type="dxa"/>
            <w:vAlign w:val="bottom"/>
          </w:tcPr>
          <w:p>
            <w:pPr>
              <w:ind w:left="20"/>
              <w:spacing w:after="0"/>
              <w:rPr>
                <w:sz w:val="20"/>
                <w:szCs w:val="20"/>
                <w:color w:val="auto"/>
              </w:rPr>
            </w:pPr>
            <w:r>
              <w:rPr>
                <w:rFonts w:ascii="Arial" w:cs="Arial" w:eastAsia="Arial" w:hAnsi="Arial"/>
                <w:sz w:val="14"/>
                <w:szCs w:val="14"/>
                <w:color w:val="auto"/>
              </w:rPr>
              <w:t>investment products</w:t>
            </w: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w:t>
            </w: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395.2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408.4</w:t>
            </w: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438.8</w:t>
            </w:r>
          </w:p>
        </w:tc>
        <w:tc>
          <w:tcPr>
            <w:tcW w:w="0" w:type="dxa"/>
            <w:vAlign w:val="bottom"/>
          </w:tcPr>
          <w:p>
            <w:pPr>
              <w:spacing w:after="0"/>
              <w:rPr>
                <w:sz w:val="1"/>
                <w:szCs w:val="1"/>
                <w:color w:val="auto"/>
              </w:rPr>
            </w:pPr>
          </w:p>
        </w:tc>
      </w:tr>
      <w:tr>
        <w:trPr>
          <w:trHeight w:val="199"/>
        </w:trPr>
        <w:tc>
          <w:tcPr>
            <w:tcW w:w="5540" w:type="dxa"/>
            <w:vAlign w:val="bottom"/>
          </w:tcPr>
          <w:p>
            <w:pPr>
              <w:ind w:left="140"/>
              <w:spacing w:after="0"/>
              <w:rPr>
                <w:sz w:val="20"/>
                <w:szCs w:val="20"/>
                <w:color w:val="auto"/>
              </w:rPr>
            </w:pPr>
            <w:r>
              <w:rPr>
                <w:rFonts w:ascii="Arial" w:cs="Arial" w:eastAsia="Arial" w:hAnsi="Arial"/>
                <w:sz w:val="14"/>
                <w:szCs w:val="14"/>
                <w:color w:val="auto"/>
              </w:rPr>
              <w:t>Fixed income, including money market</w:t>
            </w:r>
          </w:p>
        </w:tc>
        <w:tc>
          <w:tcPr>
            <w:tcW w:w="70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91.4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90.7</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91.3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90.4</w:t>
            </w:r>
          </w:p>
        </w:tc>
        <w:tc>
          <w:tcPr>
            <w:tcW w:w="0" w:type="dxa"/>
            <w:vAlign w:val="bottom"/>
          </w:tcPr>
          <w:p>
            <w:pPr>
              <w:spacing w:after="0"/>
              <w:rPr>
                <w:sz w:val="1"/>
                <w:szCs w:val="1"/>
                <w:color w:val="auto"/>
              </w:rPr>
            </w:pPr>
          </w:p>
        </w:tc>
      </w:tr>
      <w:tr>
        <w:trPr>
          <w:trHeight w:val="206"/>
        </w:trPr>
        <w:tc>
          <w:tcPr>
            <w:tcW w:w="5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Multi-asset</w:t>
            </w: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233.4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195.2</w:t>
            </w: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245.5</w:t>
            </w:r>
          </w:p>
        </w:tc>
        <w:tc>
          <w:tcPr>
            <w:tcW w:w="0" w:type="dxa"/>
            <w:vAlign w:val="bottom"/>
          </w:tcPr>
          <w:p>
            <w:pPr>
              <w:spacing w:after="0"/>
              <w:rPr>
                <w:sz w:val="1"/>
                <w:szCs w:val="1"/>
                <w:color w:val="auto"/>
              </w:rPr>
            </w:pPr>
          </w:p>
        </w:tc>
      </w:tr>
      <w:tr>
        <w:trPr>
          <w:trHeight w:val="198"/>
        </w:trPr>
        <w:tc>
          <w:tcPr>
            <w:tcW w:w="5540" w:type="dxa"/>
            <w:vAlign w:val="bottom"/>
          </w:tcPr>
          <w:p>
            <w:pPr>
              <w:ind w:left="140"/>
              <w:spacing w:after="0"/>
              <w:rPr>
                <w:sz w:val="20"/>
                <w:szCs w:val="20"/>
                <w:color w:val="auto"/>
              </w:rPr>
            </w:pPr>
            <w:r>
              <w:rPr>
                <w:rFonts w:ascii="Arial" w:cs="Arial" w:eastAsia="Arial" w:hAnsi="Arial"/>
                <w:sz w:val="14"/>
                <w:szCs w:val="14"/>
                <w:color w:val="auto"/>
              </w:rPr>
              <w:t>Alternatives</w:t>
            </w:r>
          </w:p>
        </w:tc>
        <w:tc>
          <w:tcPr>
            <w:tcW w:w="70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41.9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196"/>
        </w:trPr>
        <w:tc>
          <w:tcPr>
            <w:tcW w:w="55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761.9</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694.3</w:t>
            </w: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762.4</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816.4</w:t>
            </w:r>
          </w:p>
        </w:tc>
        <w:tc>
          <w:tcPr>
            <w:tcW w:w="0" w:type="dxa"/>
            <w:vAlign w:val="bottom"/>
          </w:tcPr>
          <w:p>
            <w:pPr>
              <w:spacing w:after="0"/>
              <w:rPr>
                <w:sz w:val="1"/>
                <w:szCs w:val="1"/>
                <w:color w:val="auto"/>
              </w:rPr>
            </w:pPr>
          </w:p>
        </w:tc>
      </w:tr>
      <w:tr>
        <w:trPr>
          <w:trHeight w:val="240"/>
        </w:trPr>
        <w:tc>
          <w:tcPr>
            <w:tcW w:w="5540" w:type="dxa"/>
            <w:vAlign w:val="bottom"/>
          </w:tcPr>
          <w:p>
            <w:pPr>
              <w:ind w:left="20"/>
              <w:spacing w:after="0"/>
              <w:rPr>
                <w:sz w:val="20"/>
                <w:szCs w:val="20"/>
                <w:color w:val="auto"/>
              </w:rPr>
            </w:pPr>
            <w:r>
              <w:rPr>
                <w:rFonts w:ascii="Arial" w:cs="Arial" w:eastAsia="Arial" w:hAnsi="Arial"/>
                <w:sz w:val="14"/>
                <w:szCs w:val="14"/>
                <w:color w:val="auto"/>
              </w:rPr>
              <w:t>Total assets under management</w:t>
            </w:r>
          </w:p>
        </w:tc>
        <w:tc>
          <w:tcPr>
            <w:tcW w:w="7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1,559.9</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1,508.8</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1,551.8</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1,687.8</w:t>
            </w:r>
          </w:p>
        </w:tc>
        <w:tc>
          <w:tcPr>
            <w:tcW w:w="0" w:type="dxa"/>
            <w:vAlign w:val="bottom"/>
          </w:tcPr>
          <w:p>
            <w:pPr>
              <w:spacing w:after="0"/>
              <w:rPr>
                <w:sz w:val="1"/>
                <w:szCs w:val="1"/>
                <w:color w:val="auto"/>
              </w:rPr>
            </w:pPr>
          </w:p>
        </w:tc>
      </w:tr>
      <w:tr>
        <w:trPr>
          <w:trHeight w:val="345"/>
        </w:trPr>
        <w:tc>
          <w:tcPr>
            <w:tcW w:w="5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62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Net Cash Flows After Client Transfers (by investment vehicle and underlying asset class)</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48"/>
              <w:spacing w:after="0" w:line="153" w:lineRule="exact"/>
              <w:rPr>
                <w:sz w:val="20"/>
                <w:szCs w:val="20"/>
                <w:color w:val="auto"/>
              </w:rPr>
            </w:pPr>
            <w:r>
              <w:rPr>
                <w:rFonts w:ascii="Arial" w:cs="Arial" w:eastAsia="Arial" w:hAnsi="Arial"/>
                <w:sz w:val="14"/>
                <w:szCs w:val="14"/>
                <w:color w:val="auto"/>
              </w:rPr>
              <w:t>Three months</w:t>
            </w:r>
          </w:p>
        </w:tc>
        <w:tc>
          <w:tcPr>
            <w:tcW w:w="0" w:type="dxa"/>
            <w:vAlign w:val="bottom"/>
          </w:tcPr>
          <w:p>
            <w:pPr>
              <w:spacing w:after="0"/>
              <w:rPr>
                <w:sz w:val="1"/>
                <w:szCs w:val="1"/>
                <w:color w:val="auto"/>
              </w:rPr>
            </w:pPr>
          </w:p>
        </w:tc>
      </w:tr>
      <w:tr>
        <w:trPr>
          <w:trHeight w:val="185"/>
        </w:trPr>
        <w:tc>
          <w:tcPr>
            <w:tcW w:w="6240" w:type="dxa"/>
            <w:vAlign w:val="bottom"/>
            <w:gridSpan w:val="2"/>
            <w:vMerge w:val="continue"/>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ended</w:t>
            </w:r>
          </w:p>
        </w:tc>
        <w:tc>
          <w:tcPr>
            <w:tcW w:w="0" w:type="dxa"/>
            <w:vAlign w:val="bottom"/>
          </w:tcPr>
          <w:p>
            <w:pPr>
              <w:spacing w:after="0"/>
              <w:rPr>
                <w:sz w:val="1"/>
                <w:szCs w:val="1"/>
                <w:color w:val="auto"/>
              </w:rPr>
            </w:pPr>
          </w:p>
        </w:tc>
      </w:tr>
      <w:tr>
        <w:trPr>
          <w:trHeight w:val="195"/>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billions)</w:t>
            </w:r>
          </w:p>
        </w:tc>
        <w:tc>
          <w:tcPr>
            <w:tcW w:w="70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rPr>
              <w:t>3/31/2022</w:t>
            </w:r>
          </w:p>
        </w:tc>
        <w:tc>
          <w:tcPr>
            <w:tcW w:w="0" w:type="dxa"/>
            <w:vAlign w:val="bottom"/>
          </w:tcPr>
          <w:p>
            <w:pPr>
              <w:spacing w:after="0"/>
              <w:rPr>
                <w:sz w:val="1"/>
                <w:szCs w:val="1"/>
                <w:color w:val="auto"/>
              </w:rPr>
            </w:pPr>
          </w:p>
        </w:tc>
      </w:tr>
      <w:tr>
        <w:trPr>
          <w:trHeight w:val="183"/>
        </w:trPr>
        <w:tc>
          <w:tcPr>
            <w:tcW w:w="5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mutual funds</w:t>
            </w:r>
          </w:p>
        </w:tc>
        <w:tc>
          <w:tcPr>
            <w:tcW w:w="7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540" w:type="dxa"/>
            <w:vAlign w:val="bottom"/>
          </w:tcPr>
          <w:p>
            <w:pPr>
              <w:ind w:left="140"/>
              <w:spacing w:after="0"/>
              <w:rPr>
                <w:sz w:val="20"/>
                <w:szCs w:val="20"/>
                <w:color w:val="auto"/>
              </w:rPr>
            </w:pPr>
            <w:r>
              <w:rPr>
                <w:rFonts w:ascii="Arial" w:cs="Arial" w:eastAsia="Arial" w:hAnsi="Arial"/>
                <w:sz w:val="14"/>
                <w:szCs w:val="14"/>
                <w:color w:val="auto"/>
              </w:rPr>
              <w:t>Equity</w:t>
            </w: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07"/>
        </w:trPr>
        <w:tc>
          <w:tcPr>
            <w:tcW w:w="5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Fixed income, including money market</w:t>
            </w: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8"/>
        </w:trPr>
        <w:tc>
          <w:tcPr>
            <w:tcW w:w="55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Multi-asset</w:t>
            </w:r>
          </w:p>
        </w:tc>
        <w:tc>
          <w:tcPr>
            <w:tcW w:w="7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0"/>
        </w:trPr>
        <w:tc>
          <w:tcPr>
            <w:tcW w:w="55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78"/>
        </w:trPr>
        <w:tc>
          <w:tcPr>
            <w:tcW w:w="6240" w:type="dxa"/>
            <w:vAlign w:val="bottom"/>
            <w:gridSpan w:val="2"/>
          </w:tcPr>
          <w:p>
            <w:pPr>
              <w:ind w:left="20"/>
              <w:spacing w:after="0"/>
              <w:rPr>
                <w:sz w:val="20"/>
                <w:szCs w:val="20"/>
                <w:color w:val="auto"/>
              </w:rPr>
            </w:pPr>
            <w:r>
              <w:rPr>
                <w:rFonts w:ascii="Arial" w:cs="Arial" w:eastAsia="Arial" w:hAnsi="Arial"/>
                <w:sz w:val="14"/>
                <w:szCs w:val="14"/>
                <w:color w:val="auto"/>
              </w:rPr>
              <w:t>Subadvised funds, separate accounts, collective investment trusts, and other investment products</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w:t>
            </w: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98"/>
        </w:trPr>
        <w:tc>
          <w:tcPr>
            <w:tcW w:w="5540" w:type="dxa"/>
            <w:vAlign w:val="bottom"/>
          </w:tcPr>
          <w:p>
            <w:pPr>
              <w:ind w:left="140"/>
              <w:spacing w:after="0"/>
              <w:rPr>
                <w:sz w:val="20"/>
                <w:szCs w:val="20"/>
                <w:color w:val="auto"/>
              </w:rPr>
            </w:pPr>
            <w:r>
              <w:rPr>
                <w:rFonts w:ascii="Arial" w:cs="Arial" w:eastAsia="Arial" w:hAnsi="Arial"/>
                <w:sz w:val="14"/>
                <w:szCs w:val="14"/>
                <w:color w:val="auto"/>
              </w:rPr>
              <w:t>Fixed income, including money market</w:t>
            </w: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7"/>
        </w:trPr>
        <w:tc>
          <w:tcPr>
            <w:tcW w:w="5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Multi-asset</w:t>
            </w: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98"/>
        </w:trPr>
        <w:tc>
          <w:tcPr>
            <w:tcW w:w="55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Alternatives</w:t>
            </w:r>
          </w:p>
        </w:tc>
        <w:tc>
          <w:tcPr>
            <w:tcW w:w="7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6"/>
        </w:trPr>
        <w:tc>
          <w:tcPr>
            <w:tcW w:w="55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00"/>
        </w:trPr>
        <w:tc>
          <w:tcPr>
            <w:tcW w:w="5540" w:type="dxa"/>
            <w:vAlign w:val="bottom"/>
          </w:tcPr>
          <w:p>
            <w:pPr>
              <w:ind w:left="20"/>
              <w:spacing w:after="0"/>
              <w:rPr>
                <w:sz w:val="20"/>
                <w:szCs w:val="20"/>
                <w:color w:val="auto"/>
              </w:rPr>
            </w:pPr>
            <w:r>
              <w:rPr>
                <w:rFonts w:ascii="Arial" w:cs="Arial" w:eastAsia="Arial" w:hAnsi="Arial"/>
                <w:sz w:val="14"/>
                <w:szCs w:val="14"/>
                <w:color w:val="auto"/>
              </w:rPr>
              <w:t>Total net cash flows after client transfers</w:t>
            </w: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066"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3"/>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Non-Operating Income (Loss) (in millions)</w:t>
            </w:r>
          </w:p>
        </w:tc>
        <w:tc>
          <w:tcPr>
            <w:tcW w:w="220" w:type="dxa"/>
            <w:vAlign w:val="bottom"/>
            <w:tcBorders>
              <w:bottom w:val="single" w:sz="8" w:color="auto"/>
            </w:tcBorders>
            <w:shd w:val="clear" w:color="auto" w:fill="CCEEFF"/>
          </w:tcPr>
          <w:p>
            <w:pPr>
              <w:spacing w:after="0"/>
              <w:rPr>
                <w:sz w:val="17"/>
                <w:szCs w:val="17"/>
                <w:color w:val="auto"/>
              </w:rPr>
            </w:pPr>
          </w:p>
        </w:tc>
        <w:tc>
          <w:tcPr>
            <w:tcW w:w="2540" w:type="dxa"/>
            <w:vAlign w:val="bottom"/>
            <w:tcBorders>
              <w:bottom w:val="single" w:sz="8" w:color="auto"/>
            </w:tcBorders>
            <w:gridSpan w:val="4"/>
            <w:shd w:val="clear" w:color="auto" w:fill="CCEEFF"/>
          </w:tcPr>
          <w:p>
            <w:pPr>
              <w:jc w:val="right"/>
              <w:ind w:right="648"/>
              <w:spacing w:after="0"/>
              <w:rPr>
                <w:sz w:val="20"/>
                <w:szCs w:val="20"/>
                <w:color w:val="auto"/>
              </w:rPr>
            </w:pPr>
            <w:r>
              <w:rPr>
                <w:rFonts w:ascii="Arial" w:cs="Arial" w:eastAsia="Arial" w:hAnsi="Arial"/>
                <w:sz w:val="14"/>
                <w:szCs w:val="14"/>
                <w:color w:val="auto"/>
              </w:rPr>
              <w:t>Three months ended</w:t>
            </w:r>
          </w:p>
        </w:tc>
      </w:tr>
      <w:tr>
        <w:trPr>
          <w:trHeight w:val="192"/>
        </w:trPr>
        <w:tc>
          <w:tcPr>
            <w:tcW w:w="84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3/31/2022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3/31/2021</w:t>
            </w:r>
          </w:p>
        </w:tc>
      </w:tr>
      <w:tr>
        <w:trPr>
          <w:trHeight w:val="187"/>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gains (losses) from non-consolidated T. Rowe Price investment products</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8"/>
        </w:trPr>
        <w:tc>
          <w:tcPr>
            <w:tcW w:w="8480" w:type="dxa"/>
            <w:vAlign w:val="bottom"/>
          </w:tcPr>
          <w:p>
            <w:pPr>
              <w:ind w:left="140"/>
              <w:spacing w:after="0"/>
              <w:rPr>
                <w:sz w:val="20"/>
                <w:szCs w:val="20"/>
                <w:color w:val="auto"/>
              </w:rPr>
            </w:pPr>
            <w:r>
              <w:rPr>
                <w:rFonts w:ascii="Arial" w:cs="Arial" w:eastAsia="Arial" w:hAnsi="Arial"/>
                <w:sz w:val="14"/>
                <w:szCs w:val="14"/>
                <w:color w:val="auto"/>
              </w:rPr>
              <w:t>Cash and discretionary investments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Dividend income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r>
      <w:tr>
        <w:trPr>
          <w:trHeight w:val="198"/>
        </w:trPr>
        <w:tc>
          <w:tcPr>
            <w:tcW w:w="84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Market related gains (losses) and equity in earnings (losses)</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w:t>
            </w:r>
          </w:p>
        </w:tc>
      </w:tr>
      <w:tr>
        <w:trPr>
          <w:trHeight w:val="200"/>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net gains (losses) from cash and discretionary investments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13.7</w:t>
            </w:r>
          </w:p>
        </w:tc>
      </w:tr>
      <w:tr>
        <w:trPr>
          <w:trHeight w:val="199"/>
        </w:trPr>
        <w:tc>
          <w:tcPr>
            <w:tcW w:w="8480" w:type="dxa"/>
            <w:vAlign w:val="bottom"/>
          </w:tcPr>
          <w:p>
            <w:pPr>
              <w:ind w:left="140"/>
              <w:spacing w:after="0"/>
              <w:rPr>
                <w:sz w:val="20"/>
                <w:szCs w:val="20"/>
                <w:color w:val="auto"/>
              </w:rPr>
            </w:pPr>
            <w:r>
              <w:rPr>
                <w:rFonts w:ascii="Arial" w:cs="Arial" w:eastAsia="Arial" w:hAnsi="Arial"/>
                <w:sz w:val="14"/>
                <w:szCs w:val="14"/>
                <w:color w:val="auto"/>
              </w:rPr>
              <w:t>Seed capital investments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6"/>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Dividend income</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99"/>
        </w:trPr>
        <w:tc>
          <w:tcPr>
            <w:tcW w:w="8480" w:type="dxa"/>
            <w:vAlign w:val="bottom"/>
          </w:tcPr>
          <w:p>
            <w:pPr>
              <w:ind w:left="220"/>
              <w:spacing w:after="0"/>
              <w:rPr>
                <w:sz w:val="20"/>
                <w:szCs w:val="20"/>
                <w:color w:val="auto"/>
              </w:rPr>
            </w:pPr>
            <w:r>
              <w:rPr>
                <w:rFonts w:ascii="Arial" w:cs="Arial" w:eastAsia="Arial" w:hAnsi="Arial"/>
                <w:sz w:val="14"/>
                <w:szCs w:val="14"/>
                <w:color w:val="auto"/>
              </w:rPr>
              <w:t>Market related gains (losses) and equity in earnings (losses)</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11.9</w:t>
            </w:r>
          </w:p>
        </w:tc>
      </w:tr>
      <w:tr>
        <w:trPr>
          <w:trHeight w:val="206"/>
        </w:trPr>
        <w:tc>
          <w:tcPr>
            <w:tcW w:w="8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gains recognized upon deconsolidation</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199"/>
        </w:trPr>
        <w:tc>
          <w:tcPr>
            <w:tcW w:w="84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Investments used to hedge the supplemental savings plan liability</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w:t>
            </w:r>
          </w:p>
        </w:tc>
      </w:tr>
      <w:tr>
        <w:trPr>
          <w:trHeight w:val="200"/>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net gains (losses) from non-consolidated T. Rowe Price investment products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50.4</w:t>
            </w:r>
          </w:p>
        </w:tc>
      </w:tr>
      <w:tr>
        <w:trPr>
          <w:trHeight w:val="198"/>
        </w:trPr>
        <w:tc>
          <w:tcPr>
            <w:tcW w:w="84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investment income</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w:t>
            </w:r>
          </w:p>
        </w:tc>
      </w:tr>
      <w:tr>
        <w:trPr>
          <w:trHeight w:val="200"/>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gains (losses) on investments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(89.9)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68.6</w:t>
            </w:r>
          </w:p>
        </w:tc>
      </w:tr>
      <w:tr>
        <w:trPr>
          <w:trHeight w:val="198"/>
        </w:trPr>
        <w:tc>
          <w:tcPr>
            <w:tcW w:w="8480" w:type="dxa"/>
            <w:vAlign w:val="bottom"/>
          </w:tcPr>
          <w:p>
            <w:pPr>
              <w:ind w:left="20"/>
              <w:spacing w:after="0"/>
              <w:rPr>
                <w:sz w:val="20"/>
                <w:szCs w:val="20"/>
                <w:color w:val="auto"/>
              </w:rPr>
            </w:pPr>
            <w:r>
              <w:rPr>
                <w:rFonts w:ascii="Arial" w:cs="Arial" w:eastAsia="Arial" w:hAnsi="Arial"/>
                <w:sz w:val="14"/>
                <w:szCs w:val="14"/>
                <w:color w:val="auto"/>
              </w:rPr>
              <w:t>Net gains (losses) on consolidated sponsored investment portfolios</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(101.4)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37.2</w:t>
            </w:r>
          </w:p>
        </w:tc>
      </w:tr>
      <w:tr>
        <w:trPr>
          <w:trHeight w:val="203"/>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(loss), including foreign currency gains and losses</w:t>
            </w: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r>
      <w:tr>
        <w:trPr>
          <w:trHeight w:val="200"/>
        </w:trPr>
        <w:tc>
          <w:tcPr>
            <w:tcW w:w="8480" w:type="dxa"/>
            <w:vAlign w:val="bottom"/>
          </w:tcPr>
          <w:p>
            <w:pPr>
              <w:ind w:left="20"/>
              <w:spacing w:after="0"/>
              <w:rPr>
                <w:sz w:val="20"/>
                <w:szCs w:val="20"/>
                <w:color w:val="auto"/>
              </w:rPr>
            </w:pPr>
            <w:r>
              <w:rPr>
                <w:rFonts w:ascii="Arial" w:cs="Arial" w:eastAsia="Arial" w:hAnsi="Arial"/>
                <w:sz w:val="14"/>
                <w:szCs w:val="14"/>
                <w:b w:val="1"/>
                <w:bCs w:val="1"/>
                <w:color w:val="auto"/>
              </w:rPr>
              <w:t>Non-operating income (loss)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(198.5)</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102.1</w:t>
            </w:r>
          </w:p>
        </w:tc>
      </w:tr>
      <w:tr>
        <w:trPr>
          <w:trHeight w:val="20"/>
        </w:trPr>
        <w:tc>
          <w:tcPr>
            <w:tcW w:w="8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Unaudited Condensed Consolidated Cash Flows Information (in millions)</w:t>
      </w:r>
    </w:p>
    <w:p>
      <w:pPr>
        <w:spacing w:after="0" w:line="42" w:lineRule="exact"/>
        <w:rPr>
          <w:sz w:val="20"/>
          <w:szCs w:val="20"/>
          <w:color w:val="auto"/>
        </w:rPr>
      </w:pPr>
    </w:p>
    <w:p>
      <w:pPr>
        <w:ind w:left="6320"/>
        <w:spacing w:after="0"/>
        <w:rPr>
          <w:sz w:val="20"/>
          <w:szCs w:val="20"/>
          <w:color w:val="auto"/>
        </w:rPr>
      </w:pPr>
      <w:r>
        <w:rPr>
          <w:rFonts w:ascii="Arial" w:cs="Arial" w:eastAsia="Arial" w:hAnsi="Arial"/>
          <w:sz w:val="14"/>
          <w:szCs w:val="14"/>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0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right="40"/>
        <w:spacing w:after="0" w:line="231" w:lineRule="auto"/>
        <w:rPr>
          <w:sz w:val="20"/>
          <w:szCs w:val="20"/>
          <w:color w:val="auto"/>
        </w:rPr>
      </w:pPr>
      <w:r>
        <w:rPr>
          <w:rFonts w:ascii="Arial" w:cs="Arial" w:eastAsia="Arial" w:hAnsi="Arial"/>
          <w:sz w:val="14"/>
          <w:szCs w:val="14"/>
          <w:color w:val="auto"/>
        </w:rPr>
        <w:t>Cash provided by (used in) operating activities, including $63.6 of stock-based</w:t>
      </w:r>
    </w:p>
    <w:p>
      <w:pPr>
        <w:spacing w:after="0" w:line="1" w:lineRule="exact"/>
        <w:rPr>
          <w:sz w:val="20"/>
          <w:szCs w:val="20"/>
          <w:color w:val="auto"/>
        </w:rPr>
      </w:pPr>
    </w:p>
    <w:p>
      <w:pPr>
        <w:ind w:left="20" w:right="540"/>
        <w:spacing w:after="0" w:line="211" w:lineRule="auto"/>
        <w:rPr>
          <w:sz w:val="20"/>
          <w:szCs w:val="20"/>
          <w:color w:val="auto"/>
        </w:rPr>
      </w:pPr>
      <w:r>
        <w:rPr>
          <w:rFonts w:ascii="Arial" w:cs="Arial" w:eastAsia="Arial" w:hAnsi="Arial"/>
          <w:sz w:val="14"/>
          <w:szCs w:val="14"/>
          <w:color w:val="auto"/>
        </w:rPr>
        <w:t>compensation expense, $54.5 of depreciation expense. $53.9 of</w:t>
      </w:r>
    </w:p>
    <w:p>
      <w:pPr>
        <w:ind w:left="20"/>
        <w:spacing w:after="0" w:line="222" w:lineRule="auto"/>
        <w:rPr>
          <w:sz w:val="20"/>
          <w:szCs w:val="20"/>
          <w:color w:val="auto"/>
        </w:rPr>
      </w:pPr>
      <w:r>
        <w:rPr>
          <w:rFonts w:ascii="Arial" w:cs="Arial" w:eastAsia="Arial" w:hAnsi="Arial"/>
          <w:sz w:val="14"/>
          <w:szCs w:val="14"/>
          <w:color w:val="auto"/>
        </w:rPr>
        <w:t>amortization of acquisition-related assets</w:t>
      </w:r>
    </w:p>
    <w:p>
      <w:pPr>
        <w:ind w:left="20" w:right="40"/>
        <w:spacing w:after="0" w:line="211" w:lineRule="auto"/>
        <w:rPr>
          <w:sz w:val="20"/>
          <w:szCs w:val="20"/>
          <w:color w:val="auto"/>
        </w:rPr>
      </w:pPr>
      <w:r>
        <w:rPr>
          <w:rFonts w:ascii="Arial" w:cs="Arial" w:eastAsia="Arial" w:hAnsi="Arial"/>
          <w:sz w:val="14"/>
          <w:szCs w:val="14"/>
          <w:color w:val="auto"/>
        </w:rPr>
        <w:t>and retention arrangements, and $(45.5) of a fair value remeasurement of the</w:t>
      </w:r>
    </w:p>
    <w:p>
      <w:pPr>
        <w:ind w:left="20"/>
        <w:spacing w:after="0"/>
        <w:rPr>
          <w:sz w:val="20"/>
          <w:szCs w:val="20"/>
          <w:color w:val="auto"/>
        </w:rPr>
      </w:pPr>
      <w:r>
        <w:rPr>
          <w:rFonts w:ascii="Arial" w:cs="Arial" w:eastAsia="Arial" w:hAnsi="Arial"/>
          <w:sz w:val="14"/>
          <w:szCs w:val="14"/>
          <w:color w:val="auto"/>
        </w:rPr>
        <w:t>contingent consideration liability in 2022</w:t>
      </w:r>
    </w:p>
    <w:p>
      <w:pPr>
        <w:spacing w:after="0" w:line="15" w:lineRule="exact"/>
        <w:rPr>
          <w:sz w:val="20"/>
          <w:szCs w:val="20"/>
          <w:color w:val="auto"/>
        </w:rPr>
      </w:pPr>
    </w:p>
    <w:p>
      <w:pPr>
        <w:ind w:left="20" w:right="100"/>
        <w:spacing w:after="0" w:line="230" w:lineRule="auto"/>
        <w:rPr>
          <w:sz w:val="20"/>
          <w:szCs w:val="20"/>
          <w:color w:val="auto"/>
        </w:rPr>
      </w:pPr>
      <w:r>
        <w:rPr>
          <w:rFonts w:ascii="Arial" w:cs="Arial" w:eastAsia="Arial" w:hAnsi="Arial"/>
          <w:sz w:val="14"/>
          <w:szCs w:val="14"/>
          <w:color w:val="auto"/>
        </w:rPr>
        <w:t>Cash provided by (used in) investing activities, including $(54.9) for additions</w:t>
      </w:r>
    </w:p>
    <w:p>
      <w:pPr>
        <w:spacing w:after="0" w:line="1" w:lineRule="exact"/>
        <w:rPr>
          <w:sz w:val="20"/>
          <w:szCs w:val="20"/>
          <w:color w:val="auto"/>
        </w:rPr>
      </w:pPr>
    </w:p>
    <w:p>
      <w:pPr>
        <w:ind w:left="20"/>
        <w:spacing w:after="0" w:line="211" w:lineRule="auto"/>
        <w:rPr>
          <w:sz w:val="20"/>
          <w:szCs w:val="20"/>
          <w:color w:val="auto"/>
        </w:rPr>
      </w:pPr>
      <w:r>
        <w:rPr>
          <w:rFonts w:ascii="Arial" w:cs="Arial" w:eastAsia="Arial" w:hAnsi="Arial"/>
          <w:sz w:val="14"/>
          <w:szCs w:val="14"/>
          <w:color w:val="auto"/>
        </w:rPr>
        <w:t>to property, equipment and software, net, $(6.0) of purchases and $64.9 of</w:t>
      </w:r>
    </w:p>
    <w:p>
      <w:pPr>
        <w:ind w:left="20" w:right="240"/>
        <w:spacing w:after="0" w:line="242" w:lineRule="auto"/>
        <w:rPr>
          <w:sz w:val="20"/>
          <w:szCs w:val="20"/>
          <w:color w:val="auto"/>
        </w:rPr>
      </w:pPr>
      <w:r>
        <w:rPr>
          <w:rFonts w:ascii="Arial" w:cs="Arial" w:eastAsia="Arial" w:hAnsi="Arial"/>
          <w:sz w:val="14"/>
          <w:szCs w:val="14"/>
          <w:color w:val="auto"/>
        </w:rPr>
        <w:t>dispositions in investment products in 2022</w:t>
      </w:r>
    </w:p>
    <w:p>
      <w:pPr>
        <w:ind w:left="20" w:right="280"/>
        <w:spacing w:after="0" w:line="230" w:lineRule="auto"/>
        <w:rPr>
          <w:sz w:val="20"/>
          <w:szCs w:val="20"/>
          <w:color w:val="auto"/>
        </w:rPr>
      </w:pPr>
      <w:r>
        <w:rPr>
          <w:rFonts w:ascii="Arial" w:cs="Arial" w:eastAsia="Arial" w:hAnsi="Arial"/>
          <w:sz w:val="14"/>
          <w:szCs w:val="14"/>
          <w:color w:val="auto"/>
        </w:rPr>
        <w:t>Cash provided by (used in) financing activities, including T. Rowe Price</w:t>
      </w:r>
    </w:p>
    <w:p>
      <w:pPr>
        <w:spacing w:after="0" w:line="1" w:lineRule="exact"/>
        <w:rPr>
          <w:sz w:val="20"/>
          <w:szCs w:val="20"/>
          <w:color w:val="auto"/>
        </w:rPr>
      </w:pPr>
    </w:p>
    <w:p>
      <w:pPr>
        <w:ind w:left="20" w:right="60"/>
        <w:spacing w:after="0" w:line="231" w:lineRule="auto"/>
        <w:rPr>
          <w:sz w:val="20"/>
          <w:szCs w:val="20"/>
          <w:color w:val="auto"/>
        </w:rPr>
      </w:pPr>
      <w:r>
        <w:rPr>
          <w:rFonts w:ascii="Arial" w:cs="Arial" w:eastAsia="Arial" w:hAnsi="Arial"/>
          <w:sz w:val="14"/>
          <w:szCs w:val="14"/>
          <w:color w:val="auto"/>
        </w:rPr>
        <w:t>common stock repurchases of $(320.1)* and dividends paid of $(279.2) in 2022</w:t>
      </w:r>
    </w:p>
    <w:p>
      <w:pPr>
        <w:spacing w:after="0" w:line="14" w:lineRule="exact"/>
        <w:rPr>
          <w:sz w:val="20"/>
          <w:szCs w:val="20"/>
          <w:color w:val="auto"/>
        </w:rPr>
      </w:pPr>
    </w:p>
    <w:p>
      <w:pPr>
        <w:ind w:left="20"/>
        <w:spacing w:after="0" w:line="252" w:lineRule="auto"/>
        <w:rPr>
          <w:sz w:val="20"/>
          <w:szCs w:val="20"/>
          <w:color w:val="auto"/>
        </w:rPr>
      </w:pPr>
      <w:r>
        <w:rPr>
          <w:rFonts w:ascii="Arial" w:cs="Arial" w:eastAsia="Arial" w:hAnsi="Arial"/>
          <w:sz w:val="14"/>
          <w:szCs w:val="14"/>
          <w:color w:val="auto"/>
        </w:rPr>
        <w:t>Effect of exchange rate changes on cash and cash equivalents</w:t>
      </w:r>
    </w:p>
    <w:p>
      <w:pPr>
        <w:spacing w:after="0" w:line="1" w:lineRule="exact"/>
        <w:rPr>
          <w:sz w:val="20"/>
          <w:szCs w:val="20"/>
          <w:color w:val="auto"/>
        </w:rPr>
      </w:pPr>
    </w:p>
    <w:p>
      <w:pPr>
        <w:ind w:left="20"/>
        <w:spacing w:after="0" w:line="263" w:lineRule="auto"/>
        <w:rPr>
          <w:sz w:val="20"/>
          <w:szCs w:val="20"/>
          <w:color w:val="auto"/>
        </w:rPr>
      </w:pPr>
      <w:r>
        <w:rPr>
          <w:rFonts w:ascii="Arial" w:cs="Arial" w:eastAsia="Arial" w:hAnsi="Arial"/>
          <w:sz w:val="14"/>
          <w:szCs w:val="14"/>
          <w:color w:val="auto"/>
        </w:rPr>
        <w:t>Net change in cash and cash equivalents during period</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color w:val="auto"/>
              </w:rPr>
              <w:t>3/31/2022</w:t>
            </w:r>
          </w:p>
        </w:tc>
        <w:tc>
          <w:tcPr>
            <w:tcW w:w="1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right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66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color w:val="auto"/>
              </w:rPr>
              <w:t>3/31/2021</w:t>
            </w:r>
          </w:p>
        </w:tc>
        <w:tc>
          <w:tcPr>
            <w:tcW w:w="1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tcPr>
          <w:p>
            <w:pPr>
              <w:jc w:val="center"/>
              <w:ind w:right="200"/>
              <w:spacing w:after="0" w:line="151" w:lineRule="exact"/>
              <w:rPr>
                <w:sz w:val="20"/>
                <w:szCs w:val="20"/>
                <w:color w:val="auto"/>
              </w:rPr>
            </w:pPr>
            <w:r>
              <w:rPr>
                <w:rFonts w:ascii="Arial" w:cs="Arial" w:eastAsia="Arial" w:hAnsi="Arial"/>
                <w:sz w:val="14"/>
                <w:szCs w:val="14"/>
                <w:color w:val="auto"/>
              </w:rPr>
              <w:t>Cash flow attributable to</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2"/>
          </w:tcPr>
          <w:p>
            <w:pPr>
              <w:jc w:val="center"/>
              <w:ind w:right="220"/>
              <w:spacing w:after="0" w:line="151" w:lineRule="exact"/>
              <w:rPr>
                <w:sz w:val="20"/>
                <w:szCs w:val="20"/>
                <w:color w:val="auto"/>
              </w:rPr>
            </w:pPr>
            <w:r>
              <w:rPr>
                <w:rFonts w:ascii="Arial" w:cs="Arial" w:eastAsia="Arial" w:hAnsi="Arial"/>
                <w:sz w:val="14"/>
                <w:szCs w:val="14"/>
                <w:color w:val="auto"/>
              </w:rPr>
              <w:t>Cash flow attributable to</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Cash flow</w:t>
            </w:r>
          </w:p>
        </w:tc>
        <w:tc>
          <w:tcPr>
            <w:tcW w:w="100" w:type="dxa"/>
            <w:vAlign w:val="bottom"/>
          </w:tcPr>
          <w:p>
            <w:pPr>
              <w:spacing w:after="0"/>
              <w:rPr>
                <w:sz w:val="12"/>
                <w:szCs w:val="12"/>
                <w:color w:val="auto"/>
              </w:rPr>
            </w:pPr>
          </w:p>
        </w:tc>
        <w:tc>
          <w:tcPr>
            <w:tcW w:w="17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consolidated</w:t>
            </w:r>
          </w:p>
        </w:tc>
        <w:tc>
          <w:tcPr>
            <w:tcW w:w="1160" w:type="dxa"/>
            <w:vAlign w:val="bottom"/>
            <w:tcBorders>
              <w:right w:val="single" w:sz="8" w:color="auto"/>
            </w:tcBorders>
            <w:gridSpan w:val="3"/>
            <w:vMerge w:val="restart"/>
          </w:tcPr>
          <w:p>
            <w:pPr>
              <w:jc w:val="center"/>
              <w:ind w:right="120"/>
              <w:spacing w:after="0"/>
              <w:rPr>
                <w:sz w:val="20"/>
                <w:szCs w:val="20"/>
                <w:color w:val="auto"/>
              </w:rPr>
            </w:pPr>
            <w:r>
              <w:rPr>
                <w:rFonts w:ascii="Arial" w:cs="Arial" w:eastAsia="Arial" w:hAnsi="Arial"/>
                <w:sz w:val="14"/>
                <w:szCs w:val="14"/>
                <w:color w:val="auto"/>
              </w:rPr>
              <w:t>As reported on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Cash flow</w:t>
            </w:r>
          </w:p>
        </w:tc>
        <w:tc>
          <w:tcPr>
            <w:tcW w:w="100" w:type="dxa"/>
            <w:vAlign w:val="bottom"/>
          </w:tcPr>
          <w:p>
            <w:pPr>
              <w:spacing w:after="0"/>
              <w:rPr>
                <w:sz w:val="12"/>
                <w:szCs w:val="12"/>
                <w:color w:val="auto"/>
              </w:rPr>
            </w:pPr>
          </w:p>
        </w:tc>
        <w:tc>
          <w:tcPr>
            <w:tcW w:w="17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consolidated</w:t>
            </w: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color w:val="auto"/>
              </w:rPr>
              <w:t>As reported on</w:t>
            </w:r>
          </w:p>
        </w:tc>
        <w:tc>
          <w:tcPr>
            <w:tcW w:w="0" w:type="dxa"/>
            <w:vAlign w:val="bottom"/>
          </w:tcPr>
          <w:p>
            <w:pPr>
              <w:spacing w:after="0"/>
              <w:rPr>
                <w:sz w:val="1"/>
                <w:szCs w:val="1"/>
                <w:color w:val="auto"/>
              </w:rPr>
            </w:pPr>
          </w:p>
        </w:tc>
      </w:tr>
      <w:tr>
        <w:trPr>
          <w:trHeight w:val="144"/>
        </w:trPr>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40" w:type="dxa"/>
            <w:vAlign w:val="bottom"/>
            <w:gridSpan w:val="3"/>
          </w:tcPr>
          <w:p>
            <w:pPr>
              <w:jc w:val="center"/>
              <w:ind w:right="100"/>
              <w:spacing w:after="0" w:line="145" w:lineRule="exact"/>
              <w:rPr>
                <w:sz w:val="20"/>
                <w:szCs w:val="20"/>
                <w:color w:val="auto"/>
              </w:rPr>
            </w:pPr>
            <w:r>
              <w:rPr>
                <w:rFonts w:ascii="Arial" w:cs="Arial" w:eastAsia="Arial" w:hAnsi="Arial"/>
                <w:sz w:val="14"/>
                <w:szCs w:val="14"/>
                <w:color w:val="auto"/>
              </w:rPr>
              <w:t>T. Rowe Price investment</w:t>
            </w:r>
          </w:p>
        </w:tc>
        <w:tc>
          <w:tcPr>
            <w:tcW w:w="1160" w:type="dxa"/>
            <w:vAlign w:val="bottom"/>
            <w:tcBorders>
              <w:right w:val="single" w:sz="8" w:color="auto"/>
            </w:tcBorders>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60" w:type="dxa"/>
            <w:vAlign w:val="bottom"/>
            <w:gridSpan w:val="3"/>
          </w:tcPr>
          <w:p>
            <w:pPr>
              <w:jc w:val="center"/>
              <w:ind w:right="120"/>
              <w:spacing w:after="0" w:line="145" w:lineRule="exact"/>
              <w:rPr>
                <w:sz w:val="20"/>
                <w:szCs w:val="20"/>
                <w:color w:val="auto"/>
              </w:rPr>
            </w:pPr>
            <w:r>
              <w:rPr>
                <w:rFonts w:ascii="Arial" w:cs="Arial" w:eastAsia="Arial" w:hAnsi="Arial"/>
                <w:sz w:val="14"/>
                <w:szCs w:val="14"/>
                <w:color w:val="auto"/>
              </w:rPr>
              <w:t>T. Rowe Price investment</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80" w:type="dxa"/>
            <w:vAlign w:val="bottom"/>
            <w:gridSpan w:val="3"/>
          </w:tcPr>
          <w:p>
            <w:pPr>
              <w:ind w:left="40"/>
              <w:spacing w:after="0" w:line="139" w:lineRule="exact"/>
              <w:rPr>
                <w:sz w:val="20"/>
                <w:szCs w:val="20"/>
                <w:color w:val="auto"/>
              </w:rPr>
            </w:pPr>
            <w:r>
              <w:rPr>
                <w:rFonts w:ascii="Arial" w:cs="Arial" w:eastAsia="Arial" w:hAnsi="Arial"/>
                <w:sz w:val="14"/>
                <w:szCs w:val="14"/>
                <w:b w:val="1"/>
                <w:bCs w:val="1"/>
                <w:color w:val="auto"/>
              </w:rPr>
              <w:t>attributable to T.</w:t>
            </w:r>
          </w:p>
        </w:tc>
        <w:tc>
          <w:tcPr>
            <w:tcW w:w="100" w:type="dxa"/>
            <w:vAlign w:val="bottom"/>
          </w:tcPr>
          <w:p>
            <w:pPr>
              <w:spacing w:after="0"/>
              <w:rPr>
                <w:sz w:val="12"/>
                <w:szCs w:val="12"/>
                <w:color w:val="auto"/>
              </w:rPr>
            </w:pPr>
          </w:p>
        </w:tc>
        <w:tc>
          <w:tcPr>
            <w:tcW w:w="1740" w:type="dxa"/>
            <w:vAlign w:val="bottom"/>
            <w:gridSpan w:val="2"/>
          </w:tcPr>
          <w:p>
            <w:pPr>
              <w:jc w:val="center"/>
              <w:ind w:right="200"/>
              <w:spacing w:after="0" w:line="139" w:lineRule="exact"/>
              <w:rPr>
                <w:sz w:val="20"/>
                <w:szCs w:val="20"/>
                <w:color w:val="auto"/>
              </w:rPr>
            </w:pPr>
            <w:r>
              <w:rPr>
                <w:rFonts w:ascii="Arial" w:cs="Arial" w:eastAsia="Arial" w:hAnsi="Arial"/>
                <w:sz w:val="14"/>
                <w:szCs w:val="14"/>
                <w:color w:val="auto"/>
              </w:rPr>
              <w:t>products, net of</w:t>
            </w:r>
          </w:p>
        </w:tc>
        <w:tc>
          <w:tcPr>
            <w:tcW w:w="120" w:type="dxa"/>
            <w:vAlign w:val="bottom"/>
          </w:tcPr>
          <w:p>
            <w:pPr>
              <w:spacing w:after="0"/>
              <w:rPr>
                <w:sz w:val="12"/>
                <w:szCs w:val="12"/>
                <w:color w:val="auto"/>
              </w:rPr>
            </w:pPr>
          </w:p>
        </w:tc>
        <w:tc>
          <w:tcPr>
            <w:tcW w:w="1040" w:type="dxa"/>
            <w:vAlign w:val="bottom"/>
            <w:tcBorders>
              <w:right w:val="single" w:sz="8" w:color="auto"/>
            </w:tcBorders>
            <w:gridSpan w:val="2"/>
          </w:tcPr>
          <w:p>
            <w:pPr>
              <w:jc w:val="center"/>
              <w:ind w:right="240"/>
              <w:spacing w:after="0" w:line="139" w:lineRule="exact"/>
              <w:rPr>
                <w:sz w:val="20"/>
                <w:szCs w:val="20"/>
                <w:color w:val="auto"/>
              </w:rPr>
            </w:pPr>
            <w:r>
              <w:rPr>
                <w:rFonts w:ascii="Arial" w:cs="Arial" w:eastAsia="Arial" w:hAnsi="Arial"/>
                <w:sz w:val="14"/>
                <w:szCs w:val="14"/>
                <w:color w:val="auto"/>
              </w:rPr>
              <w:t>statement of</w:t>
            </w:r>
          </w:p>
        </w:tc>
        <w:tc>
          <w:tcPr>
            <w:tcW w:w="80" w:type="dxa"/>
            <w:vAlign w:val="bottom"/>
          </w:tcPr>
          <w:p>
            <w:pPr>
              <w:spacing w:after="0"/>
              <w:rPr>
                <w:sz w:val="12"/>
                <w:szCs w:val="12"/>
                <w:color w:val="auto"/>
              </w:rPr>
            </w:pPr>
          </w:p>
        </w:tc>
        <w:tc>
          <w:tcPr>
            <w:tcW w:w="1280" w:type="dxa"/>
            <w:vAlign w:val="bottom"/>
            <w:gridSpan w:val="3"/>
          </w:tcPr>
          <w:p>
            <w:pPr>
              <w:ind w:left="40"/>
              <w:spacing w:after="0" w:line="139" w:lineRule="exact"/>
              <w:rPr>
                <w:sz w:val="20"/>
                <w:szCs w:val="20"/>
                <w:color w:val="auto"/>
              </w:rPr>
            </w:pPr>
            <w:r>
              <w:rPr>
                <w:rFonts w:ascii="Arial" w:cs="Arial" w:eastAsia="Arial" w:hAnsi="Arial"/>
                <w:sz w:val="14"/>
                <w:szCs w:val="14"/>
                <w:b w:val="1"/>
                <w:bCs w:val="1"/>
                <w:color w:val="auto"/>
              </w:rPr>
              <w:t>attributable to T.</w:t>
            </w:r>
          </w:p>
        </w:tc>
        <w:tc>
          <w:tcPr>
            <w:tcW w:w="100" w:type="dxa"/>
            <w:vAlign w:val="bottom"/>
          </w:tcPr>
          <w:p>
            <w:pPr>
              <w:spacing w:after="0"/>
              <w:rPr>
                <w:sz w:val="12"/>
                <w:szCs w:val="12"/>
                <w:color w:val="auto"/>
              </w:rPr>
            </w:pPr>
          </w:p>
        </w:tc>
        <w:tc>
          <w:tcPr>
            <w:tcW w:w="1760" w:type="dxa"/>
            <w:vAlign w:val="bottom"/>
            <w:gridSpan w:val="2"/>
          </w:tcPr>
          <w:p>
            <w:pPr>
              <w:jc w:val="center"/>
              <w:ind w:right="200"/>
              <w:spacing w:after="0" w:line="139" w:lineRule="exact"/>
              <w:rPr>
                <w:sz w:val="20"/>
                <w:szCs w:val="20"/>
                <w:color w:val="auto"/>
              </w:rPr>
            </w:pPr>
            <w:r>
              <w:rPr>
                <w:rFonts w:ascii="Arial" w:cs="Arial" w:eastAsia="Arial" w:hAnsi="Arial"/>
                <w:sz w:val="14"/>
                <w:szCs w:val="14"/>
                <w:color w:val="auto"/>
              </w:rPr>
              <w:t>products, net of</w:t>
            </w:r>
          </w:p>
        </w:tc>
        <w:tc>
          <w:tcPr>
            <w:tcW w:w="120" w:type="dxa"/>
            <w:vAlign w:val="bottom"/>
          </w:tcPr>
          <w:p>
            <w:pPr>
              <w:spacing w:after="0"/>
              <w:rPr>
                <w:sz w:val="12"/>
                <w:szCs w:val="12"/>
                <w:color w:val="auto"/>
              </w:rPr>
            </w:pPr>
          </w:p>
        </w:tc>
        <w:tc>
          <w:tcPr>
            <w:tcW w:w="920" w:type="dxa"/>
            <w:vAlign w:val="bottom"/>
          </w:tcPr>
          <w:p>
            <w:pPr>
              <w:jc w:val="center"/>
              <w:ind w:right="48"/>
              <w:spacing w:after="0" w:line="139" w:lineRule="exact"/>
              <w:rPr>
                <w:sz w:val="20"/>
                <w:szCs w:val="20"/>
                <w:color w:val="auto"/>
              </w:rPr>
            </w:pPr>
            <w:r>
              <w:rPr>
                <w:rFonts w:ascii="Arial" w:cs="Arial" w:eastAsia="Arial" w:hAnsi="Arial"/>
                <w:sz w:val="14"/>
                <w:szCs w:val="14"/>
                <w:color w:val="auto"/>
              </w:rPr>
              <w:t>statement of</w:t>
            </w:r>
          </w:p>
        </w:tc>
        <w:tc>
          <w:tcPr>
            <w:tcW w:w="0" w:type="dxa"/>
            <w:vAlign w:val="bottom"/>
          </w:tcPr>
          <w:p>
            <w:pPr>
              <w:spacing w:after="0"/>
              <w:rPr>
                <w:sz w:val="1"/>
                <w:szCs w:val="1"/>
                <w:color w:val="auto"/>
              </w:rPr>
            </w:pPr>
          </w:p>
        </w:tc>
      </w:tr>
      <w:tr>
        <w:trPr>
          <w:trHeight w:val="185"/>
        </w:trPr>
        <w:tc>
          <w:tcPr>
            <w:tcW w:w="16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Rowe Price</w:t>
            </w:r>
          </w:p>
        </w:tc>
        <w:tc>
          <w:tcPr>
            <w:tcW w:w="100" w:type="dxa"/>
            <w:vAlign w:val="bottom"/>
          </w:tcPr>
          <w:p>
            <w:pPr>
              <w:spacing w:after="0"/>
              <w:rPr>
                <w:sz w:val="16"/>
                <w:szCs w:val="16"/>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color w:val="auto"/>
              </w:rPr>
              <w:t>eliminations</w:t>
            </w:r>
          </w:p>
        </w:tc>
        <w:tc>
          <w:tcPr>
            <w:tcW w:w="120" w:type="dxa"/>
            <w:vAlign w:val="bottom"/>
          </w:tcPr>
          <w:p>
            <w:pPr>
              <w:spacing w:after="0"/>
              <w:rPr>
                <w:sz w:val="16"/>
                <w:szCs w:val="16"/>
                <w:color w:val="auto"/>
              </w:rPr>
            </w:pPr>
          </w:p>
        </w:tc>
        <w:tc>
          <w:tcPr>
            <w:tcW w:w="10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color w:val="auto"/>
              </w:rPr>
              <w:t>cash flows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Rowe Price</w:t>
            </w:r>
          </w:p>
        </w:tc>
        <w:tc>
          <w:tcPr>
            <w:tcW w:w="100" w:type="dxa"/>
            <w:vAlign w:val="bottom"/>
          </w:tcPr>
          <w:p>
            <w:pPr>
              <w:spacing w:after="0"/>
              <w:rPr>
                <w:sz w:val="16"/>
                <w:szCs w:val="16"/>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4"/>
                <w:szCs w:val="14"/>
                <w:color w:val="auto"/>
              </w:rPr>
              <w:t>eliminations</w:t>
            </w:r>
          </w:p>
        </w:tc>
        <w:tc>
          <w:tcPr>
            <w:tcW w:w="120" w:type="dxa"/>
            <w:vAlign w:val="bottom"/>
          </w:tcPr>
          <w:p>
            <w:pPr>
              <w:spacing w:after="0"/>
              <w:rPr>
                <w:sz w:val="16"/>
                <w:szCs w:val="16"/>
                <w:color w:val="auto"/>
              </w:rPr>
            </w:pPr>
          </w:p>
        </w:tc>
        <w:tc>
          <w:tcPr>
            <w:tcW w:w="920" w:type="dxa"/>
            <w:vAlign w:val="bottom"/>
          </w:tcPr>
          <w:p>
            <w:pPr>
              <w:jc w:val="center"/>
              <w:ind w:right="48"/>
              <w:spacing w:after="0"/>
              <w:rPr>
                <w:sz w:val="20"/>
                <w:szCs w:val="20"/>
                <w:color w:val="auto"/>
              </w:rPr>
            </w:pPr>
            <w:r>
              <w:rPr>
                <w:rFonts w:ascii="Arial" w:cs="Arial" w:eastAsia="Arial" w:hAnsi="Arial"/>
                <w:sz w:val="14"/>
                <w:szCs w:val="14"/>
                <w:color w:val="auto"/>
              </w:rPr>
              <w:t>cash flows</w:t>
            </w:r>
          </w:p>
        </w:tc>
        <w:tc>
          <w:tcPr>
            <w:tcW w:w="0" w:type="dxa"/>
            <w:vAlign w:val="bottom"/>
          </w:tcPr>
          <w:p>
            <w:pPr>
              <w:spacing w:after="0"/>
              <w:rPr>
                <w:sz w:val="1"/>
                <w:szCs w:val="1"/>
                <w:color w:val="auto"/>
              </w:rPr>
            </w:pPr>
          </w:p>
        </w:tc>
      </w:tr>
      <w:tr>
        <w:trPr>
          <w:trHeight w:val="1179"/>
        </w:trPr>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1,018.2</w:t>
            </w:r>
          </w:p>
        </w:tc>
        <w:tc>
          <w:tcPr>
            <w:tcW w:w="12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85.2</w:t>
            </w: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1,103.4</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1,138.6</w:t>
            </w:r>
          </w:p>
        </w:tc>
        <w:tc>
          <w:tcPr>
            <w:tcW w:w="12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(143.9)</w:t>
            </w: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994.7</w:t>
            </w:r>
          </w:p>
        </w:tc>
        <w:tc>
          <w:tcPr>
            <w:tcW w:w="0" w:type="dxa"/>
            <w:vAlign w:val="bottom"/>
          </w:tcPr>
          <w:p>
            <w:pPr>
              <w:spacing w:after="0"/>
              <w:rPr>
                <w:sz w:val="1"/>
                <w:szCs w:val="1"/>
                <w:color w:val="auto"/>
              </w:rPr>
            </w:pPr>
          </w:p>
        </w:tc>
      </w:tr>
      <w:tr>
        <w:trPr>
          <w:trHeight w:val="918"/>
        </w:trPr>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44.4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(40.6)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3.8</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30.4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(61.2)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635"/>
        </w:trPr>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(588.2)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(55.9)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(644.1)</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(490.6)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183.1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(307.5)</w:t>
            </w:r>
          </w:p>
        </w:tc>
        <w:tc>
          <w:tcPr>
            <w:tcW w:w="0" w:type="dxa"/>
            <w:vAlign w:val="bottom"/>
          </w:tcPr>
          <w:p>
            <w:pPr>
              <w:spacing w:after="0"/>
              <w:rPr>
                <w:sz w:val="1"/>
                <w:szCs w:val="1"/>
                <w:color w:val="auto"/>
              </w:rPr>
            </w:pPr>
          </w:p>
        </w:tc>
      </w:tr>
      <w:tr>
        <w:trPr>
          <w:trHeight w:val="338"/>
        </w:trPr>
        <w:tc>
          <w:tcPr>
            <w:tcW w:w="16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4"/>
                <w:szCs w:val="24"/>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331"/>
        </w:trPr>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474.4</w:t>
            </w: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460.4</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678.4</w:t>
            </w: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-2193925</wp:posOffset>
            </wp:positionV>
            <wp:extent cx="7132320" cy="7626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76263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-847725</wp:posOffset>
            </wp:positionV>
            <wp:extent cx="7132320" cy="4032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40322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-230505</wp:posOffset>
            </wp:positionV>
            <wp:extent cx="7132320" cy="2146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79" w:lineRule="exact"/>
        <w:rPr>
          <w:sz w:val="20"/>
          <w:szCs w:val="20"/>
          <w:color w:val="auto"/>
        </w:rPr>
      </w:pPr>
    </w:p>
    <w:p>
      <w:pPr>
        <w:sectPr>
          <w:pgSz w:w="11900" w:h="16838" w:orient="portrait"/>
          <w:cols w:equalWidth="0" w:num="2">
            <w:col w:w="2640" w:space="60"/>
            <w:col w:w="8540"/>
          </w:cols>
          <w:pgMar w:left="320" w:top="1058" w:right="339" w:bottom="1440" w:gutter="0" w:footer="0" w:header="0"/>
          <w:type w:val="continuous"/>
        </w:sectPr>
      </w:pPr>
    </w:p>
    <w:p>
      <w:pP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i w:val="1"/>
          <w:iCs w:val="1"/>
          <w:color w:val="auto"/>
        </w:rPr>
        <w:t>Cash flows for stock repurchases reflect the impact of the timing of the settlement of these transactions at each period beginning and end.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058" w:right="339" w:bottom="1440" w:gutter="0" w:footer="0" w:header="0"/>
          <w:type w:val="continuous"/>
        </w:sectPr>
      </w:pPr>
    </w:p>
    <w:bookmarkStart w:id="55" w:name="page56"/>
    <w:bookmarkEnd w:id="55"/>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Unaudited Condensed Consolidated Balance Sheet Information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 and cash equivalents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Accounts receivable and accrued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2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Investments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Assets of consolidated T. Rowe Price investment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Operating lease assets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Property, equipment and software,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Goodwill and intangible assets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assets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Supplemental savings plan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Contingent consideration</w:t>
      </w:r>
    </w:p>
    <w:p>
      <w:pPr>
        <w:spacing w:after="0" w:line="42" w:lineRule="exact"/>
        <w:rPr>
          <w:sz w:val="20"/>
          <w:szCs w:val="20"/>
          <w:color w:val="auto"/>
        </w:rPr>
      </w:pPr>
    </w:p>
    <w:p>
      <w:pPr>
        <w:ind w:left="20"/>
        <w:spacing w:after="0" w:line="252" w:lineRule="auto"/>
        <w:rPr>
          <w:sz w:val="20"/>
          <w:szCs w:val="20"/>
          <w:color w:val="auto"/>
        </w:rPr>
      </w:pPr>
      <w:r>
        <w:rPr>
          <w:rFonts w:ascii="Arial" w:cs="Arial" w:eastAsia="Arial" w:hAnsi="Arial"/>
          <w:sz w:val="14"/>
          <w:szCs w:val="14"/>
          <w:color w:val="auto"/>
        </w:rPr>
        <w:t>Total other liabilities, includes $55.9 at March 31, 2022, and $51.4 at December 31, 2021, from consolidated T. Rowe Price investment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282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Non-controlling interests*</w:t>
      </w:r>
    </w:p>
    <w:p>
      <w:pPr>
        <w:spacing w:after="0" w:line="40" w:lineRule="exact"/>
        <w:rPr>
          <w:sz w:val="20"/>
          <w:szCs w:val="20"/>
          <w:color w:val="auto"/>
        </w:rPr>
      </w:pPr>
    </w:p>
    <w:p>
      <w:pPr>
        <w:ind w:left="20" w:right="1480"/>
        <w:spacing w:after="0" w:line="264" w:lineRule="auto"/>
        <w:rPr>
          <w:sz w:val="20"/>
          <w:szCs w:val="20"/>
          <w:color w:val="auto"/>
        </w:rPr>
      </w:pPr>
      <w:r>
        <w:rPr>
          <w:rFonts w:ascii="Arial" w:cs="Arial" w:eastAsia="Arial" w:hAnsi="Arial"/>
          <w:sz w:val="14"/>
          <w:szCs w:val="14"/>
          <w:color w:val="auto"/>
        </w:rPr>
        <w:t>Stockholders' equity attributable to T. Rowe Price Group, Inc., 227.3 common shares outstanding at March 31, 2022 and 229.2 common shares outstanding at December 31, 2021</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This includes both redeemable and non-redeemable non-controlling interest in consolidated entities.</w:t>
      </w:r>
    </w:p>
    <w:p>
      <w:pPr>
        <w:spacing w:after="0" w:line="20" w:lineRule="exact"/>
        <w:rPr>
          <w:sz w:val="20"/>
          <w:szCs w:val="20"/>
          <w:color w:val="auto"/>
        </w:rPr>
      </w:pPr>
      <w:r>
        <w:rPr>
          <w:sz w:val="20"/>
          <w:szCs w:val="20"/>
          <w:color w:val="auto"/>
        </w:rPr>
        <w:br w:type="column"/>
      </w:r>
    </w:p>
    <w:p>
      <w:pPr>
        <w:ind w:left="1200"/>
        <w:spacing w:after="0"/>
        <w:rPr>
          <w:sz w:val="20"/>
          <w:szCs w:val="20"/>
          <w:color w:val="auto"/>
        </w:rPr>
      </w:pPr>
      <w:r>
        <w:rPr>
          <w:rFonts w:ascii="Arial" w:cs="Arial" w:eastAsia="Arial" w:hAnsi="Arial"/>
          <w:sz w:val="14"/>
          <w:szCs w:val="14"/>
          <w:color w:val="auto"/>
        </w:rPr>
        <w:t>As of</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3/31/2022</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12/31/2021</w:t>
            </w:r>
          </w:p>
        </w:tc>
      </w:tr>
      <w:tr>
        <w:trPr>
          <w:trHeight w:val="192"/>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1,997.5</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1,523.1</w:t>
            </w:r>
          </w:p>
        </w:tc>
      </w:tr>
      <w:tr>
        <w:trPr>
          <w:trHeight w:val="203"/>
        </w:trPr>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919.5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1,058.3</w:t>
            </w:r>
          </w:p>
        </w:tc>
      </w:tr>
      <w:tr>
        <w:trPr>
          <w:trHeight w:val="203"/>
        </w:trPr>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2,879.3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2,975.5</w:t>
            </w:r>
          </w:p>
        </w:tc>
      </w:tr>
      <w:tr>
        <w:trPr>
          <w:trHeight w:val="203"/>
        </w:trPr>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1,658.2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1,962.8</w:t>
            </w:r>
          </w:p>
        </w:tc>
      </w:tr>
      <w:tr>
        <w:trPr>
          <w:trHeight w:val="203"/>
        </w:trPr>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164.5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201.2</w:t>
            </w:r>
          </w:p>
        </w:tc>
      </w:tr>
      <w:tr>
        <w:trPr>
          <w:trHeight w:val="203"/>
        </w:trPr>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736.3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736.2</w:t>
            </w:r>
          </w:p>
        </w:tc>
      </w:tr>
      <w:tr>
        <w:trPr>
          <w:trHeight w:val="203"/>
        </w:trPr>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3,530.2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2,693.2</w:t>
            </w:r>
          </w:p>
        </w:tc>
      </w:tr>
      <w:tr>
        <w:trPr>
          <w:trHeight w:val="206"/>
        </w:trPr>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445.3</w:t>
            </w:r>
          </w:p>
        </w:tc>
      </w:tr>
      <w:tr>
        <w:trPr>
          <w:trHeight w:val="192"/>
        </w:trPr>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12,348.0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12,509.0</w:t>
            </w:r>
          </w:p>
        </w:tc>
      </w:tr>
      <w:tr>
        <w:trPr>
          <w:trHeight w:val="203"/>
        </w:trPr>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826.3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882.6</w:t>
            </w:r>
          </w:p>
        </w:tc>
      </w:tr>
      <w:tr>
        <w:trPr>
          <w:trHeight w:val="203"/>
        </w:trPr>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211.5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306.3</w:t>
            </w:r>
          </w:p>
        </w:tc>
      </w:tr>
      <w:tr>
        <w:trPr>
          <w:trHeight w:val="338"/>
        </w:trPr>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1,193.2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1,066.4</w:t>
            </w:r>
          </w:p>
        </w:tc>
      </w:tr>
      <w:tr>
        <w:trPr>
          <w:trHeight w:val="207"/>
        </w:trPr>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1,062.6</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982.3</w:t>
            </w:r>
          </w:p>
        </w:tc>
      </w:tr>
      <w:tr>
        <w:trPr>
          <w:trHeight w:val="290"/>
        </w:trPr>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9,054.4</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9,271.4</w:t>
            </w:r>
          </w:p>
        </w:tc>
      </w:tr>
      <w:tr>
        <w:trPr>
          <w:trHeight w:val="25"/>
        </w:trPr>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428" w:lineRule="exact"/>
        <w:rPr>
          <w:sz w:val="20"/>
          <w:szCs w:val="20"/>
          <w:color w:val="auto"/>
        </w:rPr>
      </w:pPr>
    </w:p>
    <w:p>
      <w:pPr>
        <w:sectPr>
          <w:pgSz w:w="11900" w:h="16838" w:orient="portrait"/>
          <w:cols w:equalWidth="0" w:num="2">
            <w:col w:w="7820" w:space="680"/>
            <w:col w:w="2740"/>
          </w:cols>
          <w:pgMar w:left="320" w:top="1062" w:right="339" w:bottom="1440" w:gutter="0" w:footer="0" w:header="0"/>
        </w:sectPr>
      </w:pPr>
    </w:p>
    <w:p>
      <w:pPr>
        <w:spacing w:after="0" w:line="328"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5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Cash Equivalents, and Investments Information (in millions)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rPr>
              <w:t>Net assets of</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consolidated T.</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rPr>
              <w:t>Rowe Price</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Cash and cash</w:t>
            </w:r>
          </w:p>
        </w:tc>
        <w:tc>
          <w:tcPr>
            <w:tcW w:w="160" w:type="dxa"/>
            <w:vAlign w:val="bottom"/>
          </w:tcPr>
          <w:p>
            <w:pPr>
              <w:spacing w:after="0"/>
              <w:rPr>
                <w:sz w:val="13"/>
                <w:szCs w:val="13"/>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Pr>
          <w:p>
            <w:pPr>
              <w:spacing w:after="0"/>
              <w:rPr>
                <w:sz w:val="13"/>
                <w:szCs w:val="13"/>
                <w:color w:val="auto"/>
              </w:rPr>
            </w:pPr>
          </w:p>
        </w:tc>
        <w:tc>
          <w:tcPr>
            <w:tcW w:w="13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investment</w:t>
            </w:r>
          </w:p>
        </w:tc>
        <w:tc>
          <w:tcPr>
            <w:tcW w:w="260" w:type="dxa"/>
            <w:vAlign w:val="bottom"/>
          </w:tcPr>
          <w:p>
            <w:pPr>
              <w:spacing w:after="0"/>
              <w:rPr>
                <w:sz w:val="13"/>
                <w:szCs w:val="13"/>
                <w:color w:val="auto"/>
              </w:rPr>
            </w:pPr>
          </w:p>
        </w:tc>
        <w:tc>
          <w:tcPr>
            <w:tcW w:w="9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equivalents</w:t>
            </w: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products</w:t>
            </w:r>
            <w:r>
              <w:rPr>
                <w:rFonts w:ascii="Arial" w:cs="Arial" w:eastAsia="Arial" w:hAnsi="Arial"/>
                <w:sz w:val="9"/>
                <w:szCs w:val="9"/>
                <w:b w:val="1"/>
                <w:bCs w:val="1"/>
                <w:color w:val="auto"/>
              </w:rPr>
              <w:t>(1)</w:t>
            </w: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and discretionary investments</w:t>
            </w:r>
          </w:p>
        </w:tc>
        <w:tc>
          <w:tcPr>
            <w:tcW w:w="2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1,997.5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502.2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73.9</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2,573.6</w:t>
            </w:r>
          </w:p>
        </w:tc>
        <w:tc>
          <w:tcPr>
            <w:tcW w:w="0" w:type="dxa"/>
            <w:vAlign w:val="bottom"/>
          </w:tcPr>
          <w:p>
            <w:pPr>
              <w:spacing w:after="0"/>
              <w:rPr>
                <w:sz w:val="1"/>
                <w:szCs w:val="1"/>
                <w:color w:val="auto"/>
              </w:rPr>
            </w:pPr>
          </w:p>
        </w:tc>
      </w:tr>
      <w:tr>
        <w:trPr>
          <w:trHeight w:val="198"/>
        </w:trPr>
        <w:tc>
          <w:tcPr>
            <w:tcW w:w="5500" w:type="dxa"/>
            <w:vAlign w:val="bottom"/>
          </w:tcPr>
          <w:p>
            <w:pPr>
              <w:spacing w:after="0"/>
              <w:rPr>
                <w:sz w:val="20"/>
                <w:szCs w:val="20"/>
                <w:color w:val="auto"/>
              </w:rPr>
            </w:pPr>
            <w:r>
              <w:rPr>
                <w:rFonts w:ascii="Arial" w:cs="Arial" w:eastAsia="Arial" w:hAnsi="Arial"/>
                <w:sz w:val="14"/>
                <w:szCs w:val="14"/>
                <w:color w:val="auto"/>
              </w:rPr>
              <w:t>Seed capital investments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358.6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738.0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1,096.6</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spacing w:after="0"/>
              <w:rPr>
                <w:sz w:val="20"/>
                <w:szCs w:val="20"/>
                <w:color w:val="auto"/>
              </w:rPr>
            </w:pPr>
            <w:r>
              <w:rPr>
                <w:rFonts w:ascii="Arial" w:cs="Arial" w:eastAsia="Arial" w:hAnsi="Arial"/>
                <w:sz w:val="14"/>
                <w:szCs w:val="14"/>
                <w:color w:val="auto"/>
              </w:rPr>
              <w:t>Investments used to hedge the supplemental savings plan liability</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820.0</w:t>
            </w:r>
          </w:p>
        </w:tc>
        <w:tc>
          <w:tcPr>
            <w:tcW w:w="0" w:type="dxa"/>
            <w:vAlign w:val="bottom"/>
          </w:tcPr>
          <w:p>
            <w:pPr>
              <w:spacing w:after="0"/>
              <w:rPr>
                <w:sz w:val="1"/>
                <w:szCs w:val="1"/>
                <w:color w:val="auto"/>
              </w:rPr>
            </w:pPr>
          </w:p>
        </w:tc>
      </w:tr>
      <w:tr>
        <w:trPr>
          <w:trHeight w:val="195"/>
        </w:trPr>
        <w:tc>
          <w:tcPr>
            <w:tcW w:w="5500" w:type="dxa"/>
            <w:vAlign w:val="bottom"/>
          </w:tcPr>
          <w:p>
            <w:pPr>
              <w:spacing w:after="0"/>
              <w:rPr>
                <w:sz w:val="20"/>
                <w:szCs w:val="20"/>
                <w:color w:val="auto"/>
              </w:rPr>
            </w:pPr>
            <w:r>
              <w:rPr>
                <w:rFonts w:ascii="Arial" w:cs="Arial" w:eastAsia="Arial" w:hAnsi="Arial"/>
                <w:sz w:val="14"/>
                <w:szCs w:val="14"/>
                <w:b w:val="1"/>
                <w:bCs w:val="1"/>
                <w:color w:val="auto"/>
              </w:rPr>
              <w:t>Total cash and redeemable investments in T. Rowe Price products</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1,997.5</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1,680.8</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811.9</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4,490.2</w:t>
            </w: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spacing w:after="0" w:line="203" w:lineRule="exact"/>
              <w:rPr>
                <w:sz w:val="20"/>
                <w:szCs w:val="20"/>
                <w:color w:val="auto"/>
              </w:rPr>
            </w:pPr>
            <w:r>
              <w:rPr>
                <w:rFonts w:ascii="Arial" w:cs="Arial" w:eastAsia="Arial" w:hAnsi="Arial"/>
                <w:sz w:val="14"/>
                <w:szCs w:val="14"/>
                <w:color w:val="auto"/>
              </w:rPr>
              <w:t>Investments in affiliates</w:t>
            </w:r>
            <w:r>
              <w:rPr>
                <w:rFonts w:ascii="Arial" w:cs="Arial" w:eastAsia="Arial" w:hAnsi="Arial"/>
                <w:sz w:val="18"/>
                <w:szCs w:val="18"/>
                <w:color w:val="auto"/>
                <w:vertAlign w:val="superscript"/>
              </w:rPr>
              <w:t>(2)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795.2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795.2</w:t>
            </w:r>
          </w:p>
        </w:tc>
        <w:tc>
          <w:tcPr>
            <w:tcW w:w="0" w:type="dxa"/>
            <w:vAlign w:val="bottom"/>
          </w:tcPr>
          <w:p>
            <w:pPr>
              <w:spacing w:after="0"/>
              <w:rPr>
                <w:sz w:val="1"/>
                <w:szCs w:val="1"/>
                <w:color w:val="auto"/>
              </w:rPr>
            </w:pPr>
          </w:p>
        </w:tc>
      </w:tr>
      <w:tr>
        <w:trPr>
          <w:trHeight w:val="198"/>
        </w:trPr>
        <w:tc>
          <w:tcPr>
            <w:tcW w:w="5500" w:type="dxa"/>
            <w:vAlign w:val="bottom"/>
          </w:tcPr>
          <w:p>
            <w:pPr>
              <w:spacing w:after="0"/>
              <w:rPr>
                <w:sz w:val="20"/>
                <w:szCs w:val="20"/>
                <w:color w:val="auto"/>
              </w:rPr>
            </w:pPr>
            <w:r>
              <w:rPr>
                <w:rFonts w:ascii="Arial" w:cs="Arial" w:eastAsia="Arial" w:hAnsi="Arial"/>
                <w:sz w:val="14"/>
                <w:szCs w:val="14"/>
                <w:color w:val="auto"/>
              </w:rPr>
              <w:t>Investments in CLOs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124.5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124.5</w:t>
            </w:r>
          </w:p>
        </w:tc>
        <w:tc>
          <w:tcPr>
            <w:tcW w:w="0" w:type="dxa"/>
            <w:vAlign w:val="bottom"/>
          </w:tcPr>
          <w:p>
            <w:pPr>
              <w:spacing w:after="0"/>
              <w:rPr>
                <w:sz w:val="1"/>
                <w:szCs w:val="1"/>
                <w:color w:val="auto"/>
              </w:rPr>
            </w:pPr>
          </w:p>
        </w:tc>
      </w:tr>
      <w:tr>
        <w:trPr>
          <w:trHeight w:val="207"/>
        </w:trPr>
        <w:tc>
          <w:tcPr>
            <w:tcW w:w="5500" w:type="dxa"/>
            <w:vAlign w:val="bottom"/>
            <w:shd w:val="clear" w:color="auto" w:fill="CCEEFF"/>
          </w:tcPr>
          <w:p>
            <w:pPr>
              <w:spacing w:after="0"/>
              <w:rPr>
                <w:sz w:val="20"/>
                <w:szCs w:val="20"/>
                <w:color w:val="auto"/>
              </w:rPr>
            </w:pPr>
            <w:r>
              <w:rPr>
                <w:rFonts w:ascii="Arial" w:cs="Arial" w:eastAsia="Arial" w:hAnsi="Arial"/>
                <w:sz w:val="14"/>
                <w:szCs w:val="14"/>
                <w:color w:val="auto"/>
              </w:rPr>
              <w:t>Investment in UTI and other investments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278.8</w:t>
            </w:r>
          </w:p>
        </w:tc>
        <w:tc>
          <w:tcPr>
            <w:tcW w:w="0" w:type="dxa"/>
            <w:vAlign w:val="bottom"/>
          </w:tcPr>
          <w:p>
            <w:pPr>
              <w:spacing w:after="0"/>
              <w:rPr>
                <w:sz w:val="1"/>
                <w:szCs w:val="1"/>
                <w:color w:val="auto"/>
              </w:rPr>
            </w:pPr>
          </w:p>
        </w:tc>
      </w:tr>
      <w:tr>
        <w:trPr>
          <w:trHeight w:val="195"/>
        </w:trPr>
        <w:tc>
          <w:tcPr>
            <w:tcW w:w="5500" w:type="dxa"/>
            <w:vAlign w:val="bottom"/>
          </w:tcPr>
          <w:p>
            <w:pPr>
              <w:spacing w:after="0"/>
              <w:rPr>
                <w:sz w:val="20"/>
                <w:szCs w:val="20"/>
                <w:color w:val="auto"/>
              </w:rPr>
            </w:pPr>
            <w:r>
              <w:rPr>
                <w:rFonts w:ascii="Arial" w:cs="Arial" w:eastAsia="Arial" w:hAnsi="Arial"/>
                <w:sz w:val="14"/>
                <w:szCs w:val="14"/>
                <w:b w:val="1"/>
                <w:bCs w:val="1"/>
                <w:color w:val="auto"/>
              </w:rPr>
              <w:t>Total cash and investments</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1,997.5</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2,879.3</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811.9</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5,688.7</w:t>
            </w: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spacing w:after="0"/>
              <w:rPr>
                <w:sz w:val="20"/>
                <w:szCs w:val="20"/>
                <w:color w:val="auto"/>
              </w:rPr>
            </w:pPr>
            <w:r>
              <w:rPr>
                <w:rFonts w:ascii="Arial" w:cs="Arial" w:eastAsia="Arial" w:hAnsi="Arial"/>
                <w:sz w:val="14"/>
                <w:szCs w:val="14"/>
                <w:color w:val="auto"/>
              </w:rPr>
              <w:t>Redeemable non-controlling interests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790.4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790.4</w:t>
            </w:r>
          </w:p>
        </w:tc>
        <w:tc>
          <w:tcPr>
            <w:tcW w:w="0" w:type="dxa"/>
            <w:vAlign w:val="bottom"/>
          </w:tcPr>
          <w:p>
            <w:pPr>
              <w:spacing w:after="0"/>
              <w:rPr>
                <w:sz w:val="1"/>
                <w:szCs w:val="1"/>
                <w:color w:val="auto"/>
              </w:rPr>
            </w:pPr>
          </w:p>
        </w:tc>
      </w:tr>
      <w:tr>
        <w:trPr>
          <w:trHeight w:val="133"/>
        </w:trPr>
        <w:tc>
          <w:tcPr>
            <w:tcW w:w="5500" w:type="dxa"/>
            <w:vAlign w:val="bottom"/>
          </w:tcPr>
          <w:p>
            <w:pPr>
              <w:spacing w:after="0" w:line="133" w:lineRule="exact"/>
              <w:rPr>
                <w:sz w:val="20"/>
                <w:szCs w:val="20"/>
                <w:color w:val="auto"/>
              </w:rPr>
            </w:pPr>
            <w:r>
              <w:rPr>
                <w:rFonts w:ascii="Arial" w:cs="Arial" w:eastAsia="Arial" w:hAnsi="Arial"/>
                <w:sz w:val="14"/>
                <w:szCs w:val="14"/>
                <w:b w:val="1"/>
                <w:bCs w:val="1"/>
                <w:color w:val="auto"/>
              </w:rPr>
              <w:t>As reported on unaudited condensed consolidated balance sheet at March 31,</w:t>
            </w:r>
          </w:p>
        </w:tc>
        <w:tc>
          <w:tcPr>
            <w:tcW w:w="240" w:type="dxa"/>
            <w:vAlign w:val="bottom"/>
            <w:tcBorders>
              <w:top w:val="single" w:sz="8" w:color="auto"/>
            </w:tcBorders>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1,997.5</w:t>
            </w:r>
          </w:p>
        </w:tc>
        <w:tc>
          <w:tcPr>
            <w:tcW w:w="100" w:type="dxa"/>
            <w:vAlign w:val="bottom"/>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2,879.3</w:t>
            </w:r>
          </w:p>
        </w:tc>
        <w:tc>
          <w:tcPr>
            <w:tcW w:w="12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1,602.3</w:t>
            </w:r>
          </w:p>
        </w:tc>
        <w:tc>
          <w:tcPr>
            <w:tcW w:w="100" w:type="dxa"/>
            <w:vAlign w:val="bottom"/>
          </w:tcPr>
          <w:p>
            <w:pPr>
              <w:spacing w:after="0"/>
              <w:rPr>
                <w:sz w:val="11"/>
                <w:szCs w:val="11"/>
                <w:color w:val="auto"/>
              </w:rPr>
            </w:pPr>
          </w:p>
        </w:tc>
        <w:tc>
          <w:tcPr>
            <w:tcW w:w="26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6,479.1</w:t>
            </w:r>
          </w:p>
        </w:tc>
        <w:tc>
          <w:tcPr>
            <w:tcW w:w="0" w:type="dxa"/>
            <w:vAlign w:val="bottom"/>
          </w:tcPr>
          <w:p>
            <w:pPr>
              <w:spacing w:after="0"/>
              <w:rPr>
                <w:sz w:val="1"/>
                <w:szCs w:val="1"/>
                <w:color w:val="auto"/>
              </w:rPr>
            </w:pPr>
          </w:p>
        </w:tc>
      </w:tr>
      <w:tr>
        <w:trPr>
          <w:trHeight w:val="163"/>
        </w:trPr>
        <w:tc>
          <w:tcPr>
            <w:tcW w:w="5500" w:type="dxa"/>
            <w:vAlign w:val="bottom"/>
          </w:tcPr>
          <w:p>
            <w:pPr>
              <w:spacing w:after="0" w:line="158"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gridSpan w:val="2"/>
            <w:vMerge w:val="continue"/>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12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vMerge w:val="continue"/>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180" w:right="220" w:hanging="172"/>
        <w:spacing w:after="0" w:line="237" w:lineRule="auto"/>
        <w:tabs>
          <w:tab w:leader="none" w:pos="153" w:val="left"/>
        </w:tabs>
        <w:numPr>
          <w:ilvl w:val="0"/>
          <w:numId w:val="38"/>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The $73.9 million and $738.0 million represent the total value at March 31, 2022, of T. Rowe Price's interest in the consolidated T. Rowe Price investment products. The total net assets of $1,602.3 million at March 31, 2022, includes assets of $1,658.2 million less liabilities of $55.9 million as reflected in the unaudited condensed consolidated balance sheet information table above.</w:t>
      </w:r>
    </w:p>
    <w:p>
      <w:pPr>
        <w:ind w:left="180" w:right="100" w:hanging="172"/>
        <w:spacing w:after="0" w:line="217" w:lineRule="auto"/>
        <w:tabs>
          <w:tab w:leader="none" w:pos="152" w:val="left"/>
        </w:tabs>
        <w:numPr>
          <w:ilvl w:val="0"/>
          <w:numId w:val="38"/>
        </w:numPr>
        <w:rPr>
          <w:rFonts w:ascii="Arial" w:cs="Arial" w:eastAsia="Arial" w:hAnsi="Arial"/>
          <w:sz w:val="16"/>
          <w:szCs w:val="16"/>
          <w:color w:val="auto"/>
          <w:vertAlign w:val="superscript"/>
        </w:rPr>
      </w:pPr>
      <w:r>
        <w:rPr>
          <w:rFonts w:ascii="Arial" w:cs="Arial" w:eastAsia="Arial" w:hAnsi="Arial"/>
          <w:sz w:val="13"/>
          <w:szCs w:val="13"/>
          <w:i w:val="1"/>
          <w:iCs w:val="1"/>
          <w:color w:val="auto"/>
        </w:rPr>
        <w:t>Includes $272.2 million of non-controlling interests in consolidated entities and represents the portion of these investments, held by third parties, that we cannot sell in order to obtain cash for general operations.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Non-GAAP Information and Reconciliation</w:t>
      </w:r>
    </w:p>
    <w:p>
      <w:pPr>
        <w:spacing w:after="0" w:line="306" w:lineRule="exact"/>
        <w:rPr>
          <w:sz w:val="20"/>
          <w:szCs w:val="20"/>
          <w:color w:val="auto"/>
        </w:rPr>
      </w:pPr>
    </w:p>
    <w:p>
      <w:pPr>
        <w:ind w:right="140"/>
        <w:spacing w:after="0" w:line="373" w:lineRule="auto"/>
        <w:rPr>
          <w:sz w:val="20"/>
          <w:szCs w:val="20"/>
          <w:color w:val="auto"/>
        </w:rPr>
      </w:pPr>
      <w:r>
        <w:rPr>
          <w:rFonts w:ascii="Arial" w:cs="Arial" w:eastAsia="Arial" w:hAnsi="Arial"/>
          <w:sz w:val="18"/>
          <w:szCs w:val="18"/>
          <w:color w:val="auto"/>
        </w:rPr>
        <w:t>The firm believes the non-GAAP financial measures below provide relevant and meaningful information to investors about its core operating results. These measures have been established in order to increase transparency for the purpose of evaluating the firm's core business, for comparing current results with prior period results, and to enable more appropriate comparison with industry peers. However, non-GAAP financial measures should not be considered as a substitute for financial measures calculated in accordance with U.S. GAAP and may be calculated differently by other companies.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062" w:right="339" w:bottom="1440" w:gutter="0" w:footer="0" w:header="0"/>
          <w:type w:val="continuous"/>
        </w:sectPr>
      </w:pPr>
    </w:p>
    <w:bookmarkStart w:id="56" w:name="page57"/>
    <w:bookmarkEnd w:id="56"/>
    <w:p>
      <w:pPr>
        <w:ind w:right="260"/>
        <w:spacing w:after="0" w:line="355" w:lineRule="auto"/>
        <w:rPr>
          <w:sz w:val="20"/>
          <w:szCs w:val="20"/>
          <w:color w:val="auto"/>
        </w:rPr>
      </w:pPr>
      <w:r>
        <w:rPr>
          <w:rFonts w:ascii="Arial" w:cs="Arial" w:eastAsia="Arial" w:hAnsi="Arial"/>
          <w:sz w:val="18"/>
          <w:szCs w:val="18"/>
          <w:color w:val="auto"/>
        </w:rPr>
        <w:t>The following schedules reconcile U.S. GAAP financial measures to non-GAAP financial measures for the three months ended March 31, 2022 and 2021 and December 31, 2021.</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3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560" w:type="dxa"/>
            <w:vAlign w:val="bottom"/>
            <w:tcBorders>
              <w:bottom w:val="single" w:sz="8" w:color="auto"/>
            </w:tcBorders>
            <w:gridSpan w:val="8"/>
            <w:shd w:val="clear" w:color="auto" w:fill="CCEEFF"/>
          </w:tcPr>
          <w:p>
            <w:pPr>
              <w:jc w:val="center"/>
              <w:ind w:left="108"/>
              <w:spacing w:after="0"/>
              <w:rPr>
                <w:sz w:val="20"/>
                <w:szCs w:val="20"/>
                <w:color w:val="auto"/>
              </w:rPr>
            </w:pPr>
            <w:r>
              <w:rPr>
                <w:rFonts w:ascii="Arial" w:cs="Arial" w:eastAsia="Arial" w:hAnsi="Arial"/>
                <w:sz w:val="14"/>
                <w:szCs w:val="14"/>
                <w:b w:val="1"/>
                <w:bCs w:val="1"/>
                <w:color w:val="auto"/>
              </w:rPr>
              <w:t>Three months ended 3/31/2022</w:t>
            </w: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3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Operating</w:t>
            </w:r>
          </w:p>
        </w:tc>
        <w:tc>
          <w:tcPr>
            <w:tcW w:w="100" w:type="dxa"/>
            <w:vAlign w:val="bottom"/>
          </w:tcPr>
          <w:p>
            <w:pPr>
              <w:spacing w:after="0"/>
              <w:rPr>
                <w:sz w:val="12"/>
                <w:szCs w:val="12"/>
                <w:color w:val="auto"/>
              </w:rPr>
            </w:pPr>
          </w:p>
        </w:tc>
        <w:tc>
          <w:tcPr>
            <w:tcW w:w="118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28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rPr>
              <w:t>Provision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jc w:val="center"/>
              <w:ind w:right="360"/>
              <w:spacing w:after="0" w:line="147" w:lineRule="exact"/>
              <w:rPr>
                <w:sz w:val="20"/>
                <w:szCs w:val="20"/>
                <w:color w:val="auto"/>
              </w:rPr>
            </w:pPr>
            <w:r>
              <w:rPr>
                <w:rFonts w:ascii="Arial" w:cs="Arial" w:eastAsia="Arial" w:hAnsi="Arial"/>
                <w:sz w:val="14"/>
                <w:szCs w:val="14"/>
                <w:b w:val="1"/>
                <w:bCs w:val="1"/>
                <w:color w:val="auto"/>
              </w:rPr>
              <w:t>Net income</w:t>
            </w:r>
          </w:p>
        </w:tc>
        <w:tc>
          <w:tcPr>
            <w:tcW w:w="1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44"/>
        </w:trPr>
        <w:tc>
          <w:tcPr>
            <w:tcW w:w="3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5"/>
            <w:vMerge w:val="continue"/>
          </w:tcPr>
          <w:p>
            <w:pPr>
              <w:spacing w:after="0"/>
              <w:rPr>
                <w:sz w:val="12"/>
                <w:szCs w:val="12"/>
                <w:color w:val="auto"/>
              </w:rPr>
            </w:pPr>
          </w:p>
        </w:tc>
        <w:tc>
          <w:tcPr>
            <w:tcW w:w="1280" w:type="dxa"/>
            <w:vAlign w:val="bottom"/>
            <w:gridSpan w:val="5"/>
            <w:vMerge w:val="continue"/>
          </w:tcPr>
          <w:p>
            <w:pPr>
              <w:spacing w:after="0"/>
              <w:rPr>
                <w:sz w:val="12"/>
                <w:szCs w:val="12"/>
                <w:color w:val="auto"/>
              </w:rPr>
            </w:pPr>
          </w:p>
        </w:tc>
        <w:tc>
          <w:tcPr>
            <w:tcW w:w="1280" w:type="dxa"/>
            <w:vAlign w:val="bottom"/>
            <w:gridSpan w:val="3"/>
          </w:tcPr>
          <w:p>
            <w:pPr>
              <w:jc w:val="center"/>
              <w:ind w:right="120"/>
              <w:spacing w:after="0" w:line="145" w:lineRule="exact"/>
              <w:rPr>
                <w:sz w:val="20"/>
                <w:szCs w:val="20"/>
                <w:color w:val="auto"/>
              </w:rPr>
            </w:pPr>
            <w:r>
              <w:rPr>
                <w:rFonts w:ascii="Arial" w:cs="Arial" w:eastAsia="Arial" w:hAnsi="Arial"/>
                <w:sz w:val="14"/>
                <w:szCs w:val="14"/>
                <w:b w:val="1"/>
                <w:bCs w:val="1"/>
                <w:color w:val="auto"/>
              </w:rPr>
              <w:t>(benefit) for</w:t>
            </w:r>
          </w:p>
        </w:tc>
        <w:tc>
          <w:tcPr>
            <w:tcW w:w="100" w:type="dxa"/>
            <w:vAlign w:val="bottom"/>
          </w:tcPr>
          <w:p>
            <w:pPr>
              <w:spacing w:after="0"/>
              <w:rPr>
                <w:sz w:val="12"/>
                <w:szCs w:val="12"/>
                <w:color w:val="auto"/>
              </w:rPr>
            </w:pPr>
          </w:p>
        </w:tc>
        <w:tc>
          <w:tcPr>
            <w:tcW w:w="1320" w:type="dxa"/>
            <w:vAlign w:val="bottom"/>
            <w:gridSpan w:val="4"/>
          </w:tcPr>
          <w:p>
            <w:pPr>
              <w:jc w:val="center"/>
              <w:ind w:right="220"/>
              <w:spacing w:after="0" w:line="145" w:lineRule="exact"/>
              <w:rPr>
                <w:sz w:val="20"/>
                <w:szCs w:val="20"/>
                <w:color w:val="auto"/>
              </w:rPr>
            </w:pPr>
            <w:r>
              <w:rPr>
                <w:rFonts w:ascii="Arial" w:cs="Arial" w:eastAsia="Arial" w:hAnsi="Arial"/>
                <w:sz w:val="14"/>
                <w:szCs w:val="14"/>
                <w:b w:val="1"/>
                <w:bCs w:val="1"/>
                <w:color w:val="auto"/>
              </w:rPr>
              <w:t>attributable to T.</w:t>
            </w: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2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expenses</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income</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income (loss)</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2"/>
          </w:tcPr>
          <w:p>
            <w:pPr>
              <w:jc w:val="center"/>
              <w:spacing w:after="0" w:line="189" w:lineRule="exact"/>
              <w:rPr>
                <w:sz w:val="20"/>
                <w:szCs w:val="20"/>
                <w:color w:val="auto"/>
              </w:rPr>
            </w:pPr>
            <w:r>
              <w:rPr>
                <w:rFonts w:ascii="Arial" w:cs="Arial" w:eastAsia="Arial" w:hAnsi="Arial"/>
                <w:sz w:val="14"/>
                <w:szCs w:val="14"/>
                <w:b w:val="1"/>
                <w:bCs w:val="1"/>
                <w:color w:val="auto"/>
              </w:rPr>
              <w:t>income taxes</w:t>
            </w:r>
            <w:r>
              <w:rPr>
                <w:rFonts w:ascii="Arial" w:cs="Arial" w:eastAsia="Arial" w:hAnsi="Arial"/>
                <w:sz w:val="18"/>
                <w:szCs w:val="18"/>
                <w:b w:val="1"/>
                <w:bCs w:val="1"/>
                <w:color w:val="auto"/>
                <w:vertAlign w:val="superscript"/>
              </w:rPr>
              <w:t>(6)</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Rowe Price</w:t>
            </w:r>
          </w:p>
        </w:tc>
        <w:tc>
          <w:tcPr>
            <w:tcW w:w="12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28"/>
              <w:spacing w:after="0" w:line="189"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(7)</w:t>
            </w:r>
          </w:p>
        </w:tc>
        <w:tc>
          <w:tcPr>
            <w:tcW w:w="0" w:type="dxa"/>
            <w:vAlign w:val="bottom"/>
          </w:tcPr>
          <w:p>
            <w:pPr>
              <w:spacing w:after="0"/>
              <w:rPr>
                <w:sz w:val="1"/>
                <w:szCs w:val="1"/>
                <w:color w:val="auto"/>
              </w:rPr>
            </w:pPr>
          </w:p>
        </w:tc>
      </w:tr>
      <w:tr>
        <w:trPr>
          <w:trHeight w:val="196"/>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6"/>
              </w:rPr>
              <w:t>985.6</w:t>
            </w:r>
          </w:p>
        </w:tc>
        <w:tc>
          <w:tcPr>
            <w:tcW w:w="740" w:type="dxa"/>
            <w:vAlign w:val="bottom"/>
            <w:gridSpan w:val="2"/>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44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w w:val="96"/>
              </w:rPr>
              <w:t>877.4</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9"/>
              </w:rPr>
              <w:t>(198.5)</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567.9</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215"/>
        </w:trPr>
        <w:tc>
          <w:tcPr>
            <w:tcW w:w="326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260" w:type="dxa"/>
            <w:vAlign w:val="bottom"/>
            <w:shd w:val="clear" w:color="auto" w:fill="CCEEFF"/>
          </w:tcPr>
          <w:p>
            <w:pPr>
              <w:ind w:left="160"/>
              <w:spacing w:after="0" w:line="163" w:lineRule="exact"/>
              <w:rPr>
                <w:sz w:val="20"/>
                <w:szCs w:val="20"/>
                <w:color w:val="auto"/>
              </w:rPr>
            </w:pPr>
            <w:r>
              <w:rPr>
                <w:rFonts w:ascii="Arial" w:cs="Arial" w:eastAsia="Arial" w:hAnsi="Arial"/>
                <w:sz w:val="16"/>
                <w:szCs w:val="16"/>
                <w:color w:val="auto"/>
              </w:rPr>
              <w:t>Consolidated T. Rowe Price</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101.4</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16"/>
        </w:trPr>
        <w:tc>
          <w:tcPr>
            <w:tcW w:w="3260" w:type="dxa"/>
            <w:vAlign w:val="bottom"/>
          </w:tcPr>
          <w:p>
            <w:pPr>
              <w:ind w:left="160"/>
              <w:spacing w:after="0" w:line="216" w:lineRule="exact"/>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color w:val="auto"/>
              </w:rPr>
              <w:t>51.0</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color w:val="auto"/>
              </w:rPr>
              <w:t>(51.0)</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4"/>
                <w:szCs w:val="14"/>
                <w:color w:val="auto"/>
              </w:rPr>
              <w:t>55.3</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120"/>
              <w:spacing w:after="0" w:line="216" w:lineRule="exact"/>
              <w:rPr>
                <w:sz w:val="20"/>
                <w:szCs w:val="20"/>
                <w:color w:val="auto"/>
              </w:rPr>
            </w:pPr>
            <w:r>
              <w:rPr>
                <w:rFonts w:ascii="Arial" w:cs="Arial" w:eastAsia="Arial" w:hAnsi="Arial"/>
                <w:sz w:val="16"/>
                <w:szCs w:val="16"/>
                <w:color w:val="auto"/>
              </w:rPr>
              <w:t>Acquisition-related transaction costs</w:t>
            </w:r>
            <w:r>
              <w:rPr>
                <w:rFonts w:ascii="Arial" w:cs="Arial" w:eastAsia="Arial" w:hAnsi="Arial"/>
                <w:sz w:val="21"/>
                <w:szCs w:val="21"/>
                <w:color w:val="auto"/>
                <w:vertAlign w:val="superscript"/>
              </w:rPr>
              <w:t>(3)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420" w:type="dxa"/>
            <w:vAlign w:val="bottom"/>
            <w:gridSpan w:val="2"/>
          </w:tcPr>
          <w:p>
            <w:pPr>
              <w:ind w:left="120"/>
              <w:spacing w:after="0" w:line="216" w:lineRule="exact"/>
              <w:rPr>
                <w:sz w:val="20"/>
                <w:szCs w:val="20"/>
                <w:color w:val="auto"/>
              </w:rPr>
            </w:pPr>
            <w:r>
              <w:rPr>
                <w:rFonts w:ascii="Arial" w:cs="Arial" w:eastAsia="Arial" w:hAnsi="Arial"/>
                <w:sz w:val="16"/>
                <w:szCs w:val="16"/>
                <w:color w:val="auto"/>
              </w:rPr>
              <w:t>Acquisition-related contingent consideration</w:t>
            </w:r>
            <w:r>
              <w:rPr>
                <w:rFonts w:ascii="Arial" w:cs="Arial" w:eastAsia="Arial" w:hAnsi="Arial"/>
                <w:sz w:val="21"/>
                <w:szCs w:val="21"/>
                <w:color w:val="auto"/>
                <w:vertAlign w:val="superscript"/>
              </w:rPr>
              <w:t>(4)</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color w:val="auto"/>
              </w:rPr>
              <w:t>45.5</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color w:val="auto"/>
              </w:rPr>
              <w:t>(45.5)</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2"/>
        </w:trPr>
        <w:tc>
          <w:tcPr>
            <w:tcW w:w="326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Acquisition-related compensation</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120"/>
              <w:spacing w:after="0" w:line="216" w:lineRule="exact"/>
              <w:rPr>
                <w:sz w:val="20"/>
                <w:szCs w:val="20"/>
                <w:color w:val="auto"/>
              </w:rPr>
            </w:pPr>
            <w:r>
              <w:rPr>
                <w:rFonts w:ascii="Arial" w:cs="Arial" w:eastAsia="Arial" w:hAnsi="Arial"/>
                <w:sz w:val="16"/>
                <w:szCs w:val="16"/>
                <w:color w:val="auto"/>
              </w:rPr>
              <w:t>arrangements</w:t>
            </w:r>
            <w:r>
              <w:rPr>
                <w:rFonts w:ascii="Arial" w:cs="Arial" w:eastAsia="Arial" w:hAnsi="Arial"/>
                <w:sz w:val="21"/>
                <w:szCs w:val="21"/>
                <w:color w:val="auto"/>
                <w:vertAlign w:val="superscript"/>
              </w:rPr>
              <w:t>(4)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62"/>
        </w:trPr>
        <w:tc>
          <w:tcPr>
            <w:tcW w:w="3420" w:type="dxa"/>
            <w:vAlign w:val="bottom"/>
            <w:gridSpan w:val="2"/>
          </w:tcPr>
          <w:p>
            <w:pPr>
              <w:ind w:left="120"/>
              <w:spacing w:after="0" w:line="162" w:lineRule="exact"/>
              <w:rPr>
                <w:sz w:val="20"/>
                <w:szCs w:val="20"/>
                <w:color w:val="auto"/>
              </w:rPr>
            </w:pPr>
            <w:r>
              <w:rPr>
                <w:rFonts w:ascii="Arial" w:cs="Arial" w:eastAsia="Arial" w:hAnsi="Arial"/>
                <w:sz w:val="16"/>
                <w:szCs w:val="16"/>
                <w:color w:val="auto"/>
              </w:rPr>
              <w:t>Acquisition-related amortization - investments</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120"/>
              <w:spacing w:after="0" w:line="216" w:lineRule="exact"/>
              <w:rPr>
                <w:sz w:val="20"/>
                <w:szCs w:val="20"/>
                <w:color w:val="auto"/>
              </w:rPr>
            </w:pPr>
            <w:r>
              <w:rPr>
                <w:rFonts w:ascii="Arial" w:cs="Arial" w:eastAsia="Arial" w:hAnsi="Arial"/>
                <w:sz w:val="16"/>
                <w:szCs w:val="16"/>
                <w:color w:val="auto"/>
              </w:rPr>
              <w:t>and intangible assets</w:t>
            </w:r>
            <w:r>
              <w:rPr>
                <w:rFonts w:ascii="Arial" w:cs="Arial" w:eastAsia="Arial" w:hAnsi="Arial"/>
                <w:sz w:val="21"/>
                <w:szCs w:val="21"/>
                <w:color w:val="auto"/>
                <w:vertAlign w:val="superscript"/>
              </w:rPr>
              <w:t>(4)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gridSpan w:val="3"/>
          </w:tcPr>
          <w:p>
            <w:pPr>
              <w:jc w:val="right"/>
              <w:ind w:right="8"/>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16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96"/>
        </w:trPr>
        <w:tc>
          <w:tcPr>
            <w:tcW w:w="3260" w:type="dxa"/>
            <w:vAlign w:val="bottom"/>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1,039.1</w:t>
            </w:r>
          </w:p>
        </w:tc>
        <w:tc>
          <w:tcPr>
            <w:tcW w:w="100" w:type="dxa"/>
            <w:vAlign w:val="bottom"/>
          </w:tcPr>
          <w:p>
            <w:pPr>
              <w:spacing w:after="0"/>
              <w:rPr>
                <w:sz w:val="17"/>
                <w:szCs w:val="17"/>
                <w:color w:val="auto"/>
              </w:rPr>
            </w:pPr>
          </w:p>
        </w:tc>
        <w:tc>
          <w:tcPr>
            <w:tcW w:w="6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w w:val="96"/>
              </w:rPr>
              <w:t>838.0</w:t>
            </w:r>
          </w:p>
        </w:tc>
        <w:tc>
          <w:tcPr>
            <w:tcW w:w="100" w:type="dxa"/>
            <w:vAlign w:val="bottom"/>
          </w:tcPr>
          <w:p>
            <w:pPr>
              <w:spacing w:after="0"/>
              <w:rPr>
                <w:sz w:val="17"/>
                <w:szCs w:val="17"/>
                <w:color w:val="auto"/>
              </w:rPr>
            </w:pPr>
          </w:p>
        </w:tc>
        <w:tc>
          <w:tcPr>
            <w:tcW w:w="6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(23.8)</w:t>
            </w:r>
          </w:p>
        </w:tc>
        <w:tc>
          <w:tcPr>
            <w:tcW w:w="120" w:type="dxa"/>
            <w:vAlign w:val="bottom"/>
          </w:tcPr>
          <w:p>
            <w:pPr>
              <w:spacing w:after="0"/>
              <w:rPr>
                <w:sz w:val="17"/>
                <w:szCs w:val="17"/>
                <w:color w:val="auto"/>
              </w:rPr>
            </w:pPr>
          </w:p>
        </w:tc>
        <w:tc>
          <w:tcPr>
            <w:tcW w:w="6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197.3</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616.9</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3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tcPr>
          <w:p>
            <w:pPr>
              <w:spacing w:after="0"/>
              <w:rPr>
                <w:sz w:val="7"/>
                <w:szCs w:val="7"/>
                <w:color w:val="auto"/>
              </w:rPr>
            </w:pPr>
          </w:p>
        </w:tc>
        <w:tc>
          <w:tcPr>
            <w:tcW w:w="120" w:type="dxa"/>
            <w:vAlign w:val="bottom"/>
          </w:tcPr>
          <w:p>
            <w:pPr>
              <w:spacing w:after="0"/>
              <w:rPr>
                <w:sz w:val="7"/>
                <w:szCs w:val="7"/>
                <w:color w:val="auto"/>
              </w:rPr>
            </w:pPr>
          </w:p>
        </w:tc>
        <w:tc>
          <w:tcPr>
            <w:tcW w:w="1740" w:type="dxa"/>
            <w:vAlign w:val="bottom"/>
            <w:gridSpan w:val="5"/>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32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560" w:type="dxa"/>
            <w:vAlign w:val="bottom"/>
            <w:tcBorders>
              <w:bottom w:val="single" w:sz="8" w:color="auto"/>
            </w:tcBorders>
            <w:gridSpan w:val="8"/>
            <w:shd w:val="clear" w:color="auto" w:fill="CCEEFF"/>
          </w:tcPr>
          <w:p>
            <w:pPr>
              <w:ind w:left="160"/>
              <w:spacing w:after="0"/>
              <w:rPr>
                <w:sz w:val="20"/>
                <w:szCs w:val="20"/>
                <w:color w:val="auto"/>
              </w:rPr>
            </w:pPr>
            <w:r>
              <w:rPr>
                <w:rFonts w:ascii="Arial" w:cs="Arial" w:eastAsia="Arial" w:hAnsi="Arial"/>
                <w:sz w:val="14"/>
                <w:szCs w:val="14"/>
                <w:b w:val="1"/>
                <w:bCs w:val="1"/>
                <w:color w:val="auto"/>
              </w:rPr>
              <w:t>Three months ended 3/31/2021</w:t>
            </w: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Operating</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Net operating</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Non-operating</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spacing w:after="0" w:line="147" w:lineRule="exact"/>
              <w:rPr>
                <w:sz w:val="20"/>
                <w:szCs w:val="20"/>
                <w:color w:val="auto"/>
              </w:rPr>
            </w:pPr>
            <w:r>
              <w:rPr>
                <w:rFonts w:ascii="Arial" w:cs="Arial" w:eastAsia="Arial" w:hAnsi="Arial"/>
                <w:sz w:val="14"/>
                <w:szCs w:val="14"/>
                <w:b w:val="1"/>
                <w:bCs w:val="1"/>
                <w:color w:val="auto"/>
              </w:rPr>
              <w:t>Provision</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rPr>
              <w:t>Net income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8"/>
              <w:spacing w:after="0" w:line="147" w:lineRule="exact"/>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144"/>
        </w:trPr>
        <w:tc>
          <w:tcPr>
            <w:tcW w:w="3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spacing w:after="0" w:line="145" w:lineRule="exact"/>
              <w:rPr>
                <w:sz w:val="20"/>
                <w:szCs w:val="20"/>
                <w:color w:val="auto"/>
              </w:rPr>
            </w:pPr>
            <w:r>
              <w:rPr>
                <w:rFonts w:ascii="Arial" w:cs="Arial" w:eastAsia="Arial" w:hAnsi="Arial"/>
                <w:sz w:val="14"/>
                <w:szCs w:val="14"/>
                <w:b w:val="1"/>
                <w:bCs w:val="1"/>
                <w:color w:val="auto"/>
              </w:rPr>
              <w:t>(benefit) for</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4"/>
          </w:tcPr>
          <w:p>
            <w:pPr>
              <w:jc w:val="center"/>
              <w:ind w:right="60"/>
              <w:spacing w:after="0" w:line="145" w:lineRule="exact"/>
              <w:rPr>
                <w:sz w:val="20"/>
                <w:szCs w:val="20"/>
                <w:color w:val="auto"/>
              </w:rPr>
            </w:pPr>
            <w:r>
              <w:rPr>
                <w:rFonts w:ascii="Arial" w:cs="Arial" w:eastAsia="Arial" w:hAnsi="Arial"/>
                <w:sz w:val="14"/>
                <w:szCs w:val="14"/>
                <w:b w:val="1"/>
                <w:bCs w:val="1"/>
                <w:color w:val="auto"/>
              </w:rPr>
              <w:t>attributable to 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earnings per</w:t>
            </w:r>
          </w:p>
        </w:tc>
        <w:tc>
          <w:tcPr>
            <w:tcW w:w="0" w:type="dxa"/>
            <w:vAlign w:val="bottom"/>
          </w:tcPr>
          <w:p>
            <w:pPr>
              <w:spacing w:after="0"/>
              <w:rPr>
                <w:sz w:val="1"/>
                <w:szCs w:val="1"/>
                <w:color w:val="auto"/>
              </w:rPr>
            </w:pPr>
          </w:p>
        </w:tc>
      </w:tr>
      <w:tr>
        <w:trPr>
          <w:trHeight w:val="189"/>
        </w:trPr>
        <w:tc>
          <w:tcPr>
            <w:tcW w:w="32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expenses</w:t>
            </w:r>
          </w:p>
        </w:tc>
        <w:tc>
          <w:tcPr>
            <w:tcW w:w="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b w:val="1"/>
                <w:bCs w:val="1"/>
                <w:color w:val="auto"/>
                <w:w w:val="97"/>
              </w:rPr>
              <w:t>income</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income (loss)</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income taxes</w:t>
            </w:r>
            <w:r>
              <w:rPr>
                <w:rFonts w:ascii="Arial" w:cs="Arial" w:eastAsia="Arial" w:hAnsi="Arial"/>
                <w:sz w:val="9"/>
                <w:szCs w:val="9"/>
                <w:b w:val="1"/>
                <w:bCs w:val="1"/>
                <w:color w:val="auto"/>
              </w:rPr>
              <w:t>(6)</w:t>
            </w:r>
          </w:p>
        </w:tc>
        <w:tc>
          <w:tcPr>
            <w:tcW w:w="5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Rowe Price</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share</w:t>
            </w:r>
            <w:r>
              <w:rPr>
                <w:rFonts w:ascii="Arial" w:cs="Arial" w:eastAsia="Arial" w:hAnsi="Arial"/>
                <w:sz w:val="9"/>
                <w:szCs w:val="9"/>
                <w:b w:val="1"/>
                <w:bCs w:val="1"/>
                <w:color w:val="auto"/>
              </w:rPr>
              <w:t>(7)</w:t>
            </w:r>
          </w:p>
        </w:tc>
        <w:tc>
          <w:tcPr>
            <w:tcW w:w="0" w:type="dxa"/>
            <w:vAlign w:val="bottom"/>
          </w:tcPr>
          <w:p>
            <w:pPr>
              <w:spacing w:after="0"/>
              <w:rPr>
                <w:sz w:val="1"/>
                <w:szCs w:val="1"/>
                <w:color w:val="auto"/>
              </w:rPr>
            </w:pPr>
          </w:p>
        </w:tc>
      </w:tr>
      <w:tr>
        <w:trPr>
          <w:trHeight w:val="196"/>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933.6</w:t>
            </w:r>
          </w:p>
        </w:tc>
        <w:tc>
          <w:tcPr>
            <w:tcW w:w="420" w:type="dxa"/>
            <w:vAlign w:val="bottom"/>
            <w:gridSpan w:val="3"/>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893.2</w:t>
            </w:r>
          </w:p>
        </w:tc>
        <w:tc>
          <w:tcPr>
            <w:tcW w:w="440" w:type="dxa"/>
            <w:vAlign w:val="bottom"/>
            <w:gridSpan w:val="3"/>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102.1</w:t>
            </w:r>
          </w:p>
        </w:tc>
        <w:tc>
          <w:tcPr>
            <w:tcW w:w="480" w:type="dxa"/>
            <w:vAlign w:val="bottom"/>
            <w:gridSpan w:val="3"/>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230.5</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749.4</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215"/>
        </w:trPr>
        <w:tc>
          <w:tcPr>
            <w:tcW w:w="326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260" w:type="dxa"/>
            <w:vAlign w:val="bottom"/>
            <w:shd w:val="clear" w:color="auto" w:fill="CCEEFF"/>
          </w:tcPr>
          <w:p>
            <w:pPr>
              <w:ind w:left="160"/>
              <w:spacing w:after="0" w:line="163" w:lineRule="exact"/>
              <w:rPr>
                <w:sz w:val="20"/>
                <w:szCs w:val="20"/>
                <w:color w:val="auto"/>
              </w:rPr>
            </w:pPr>
            <w:r>
              <w:rPr>
                <w:rFonts w:ascii="Arial" w:cs="Arial" w:eastAsia="Arial" w:hAnsi="Arial"/>
                <w:sz w:val="16"/>
                <w:szCs w:val="16"/>
                <w:color w:val="auto"/>
              </w:rPr>
              <w:t>Consolidated T. Rowe Price</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16"/>
        </w:trPr>
        <w:tc>
          <w:tcPr>
            <w:tcW w:w="3260" w:type="dxa"/>
            <w:vAlign w:val="bottom"/>
          </w:tcPr>
          <w:p>
            <w:pPr>
              <w:ind w:left="160"/>
              <w:spacing w:after="0" w:line="216" w:lineRule="exact"/>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tc>
        <w:tc>
          <w:tcPr>
            <w:tcW w:w="16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22.2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16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(5)</w:t>
            </w:r>
          </w:p>
        </w:tc>
        <w:tc>
          <w:tcPr>
            <w:tcW w:w="1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6"/>
        </w:trPr>
        <w:tc>
          <w:tcPr>
            <w:tcW w:w="3260" w:type="dxa"/>
            <w:vAlign w:val="bottom"/>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909.2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918.9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220.6</w:t>
            </w:r>
          </w:p>
        </w:tc>
        <w:tc>
          <w:tcPr>
            <w:tcW w:w="860" w:type="dxa"/>
            <w:vAlign w:val="bottom"/>
            <w:gridSpan w:val="4"/>
          </w:tcPr>
          <w:p>
            <w:pPr>
              <w:jc w:val="right"/>
              <w:spacing w:after="0" w:line="195" w:lineRule="exact"/>
              <w:rPr>
                <w:sz w:val="20"/>
                <w:szCs w:val="20"/>
                <w:color w:val="auto"/>
              </w:rPr>
            </w:pPr>
            <w:r>
              <w:rPr>
                <w:rFonts w:ascii="Arial" w:cs="Arial" w:eastAsia="Arial" w:hAnsi="Arial"/>
                <w:sz w:val="12"/>
                <w:szCs w:val="12"/>
                <w:color w:val="auto"/>
              </w:rPr>
              <w:t>220600000</w:t>
            </w:r>
            <w:r>
              <w:rPr>
                <w:rFonts w:ascii="Arial" w:cs="Arial" w:eastAsia="Arial" w:hAnsi="Arial"/>
                <w:sz w:val="22"/>
                <w:szCs w:val="22"/>
                <w:color w:val="auto"/>
                <w:vertAlign w:val="superscript"/>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712.0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3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8"/>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560" w:type="dxa"/>
            <w:vAlign w:val="bottom"/>
            <w:tcBorders>
              <w:bottom w:val="single" w:sz="8" w:color="auto"/>
            </w:tcBorders>
            <w:gridSpan w:val="8"/>
            <w:shd w:val="clear" w:color="auto" w:fill="CCEEFF"/>
          </w:tcPr>
          <w:p>
            <w:pPr>
              <w:jc w:val="center"/>
              <w:ind w:left="108"/>
              <w:spacing w:after="0"/>
              <w:rPr>
                <w:sz w:val="20"/>
                <w:szCs w:val="20"/>
                <w:color w:val="auto"/>
              </w:rPr>
            </w:pPr>
            <w:r>
              <w:rPr>
                <w:rFonts w:ascii="Arial" w:cs="Arial" w:eastAsia="Arial" w:hAnsi="Arial"/>
                <w:sz w:val="14"/>
                <w:szCs w:val="14"/>
                <w:b w:val="1"/>
                <w:bCs w:val="1"/>
                <w:color w:val="auto"/>
              </w:rPr>
              <w:t>Three months ended 12/31/2021</w:t>
            </w: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Operating</w:t>
            </w:r>
          </w:p>
        </w:tc>
        <w:tc>
          <w:tcPr>
            <w:tcW w:w="100" w:type="dxa"/>
            <w:vAlign w:val="bottom"/>
          </w:tcPr>
          <w:p>
            <w:pPr>
              <w:spacing w:after="0"/>
              <w:rPr>
                <w:sz w:val="12"/>
                <w:szCs w:val="12"/>
                <w:color w:val="auto"/>
              </w:rPr>
            </w:pPr>
          </w:p>
        </w:tc>
        <w:tc>
          <w:tcPr>
            <w:tcW w:w="118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280" w:type="dxa"/>
            <w:vAlign w:val="bottom"/>
            <w:gridSpan w:val="3"/>
          </w:tcPr>
          <w:p>
            <w:pPr>
              <w:jc w:val="center"/>
              <w:ind w:right="120"/>
              <w:spacing w:after="0" w:line="143" w:lineRule="exact"/>
              <w:rPr>
                <w:sz w:val="20"/>
                <w:szCs w:val="20"/>
                <w:color w:val="auto"/>
              </w:rPr>
            </w:pPr>
            <w:r>
              <w:rPr>
                <w:rFonts w:ascii="Arial" w:cs="Arial" w:eastAsia="Arial" w:hAnsi="Arial"/>
                <w:sz w:val="14"/>
                <w:szCs w:val="14"/>
                <w:b w:val="1"/>
                <w:bCs w:val="1"/>
                <w:color w:val="auto"/>
              </w:rPr>
              <w:t>Provision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jc w:val="center"/>
              <w:ind w:right="360"/>
              <w:spacing w:after="0" w:line="143" w:lineRule="exact"/>
              <w:rPr>
                <w:sz w:val="20"/>
                <w:szCs w:val="20"/>
                <w:color w:val="auto"/>
              </w:rPr>
            </w:pPr>
            <w:r>
              <w:rPr>
                <w:rFonts w:ascii="Arial" w:cs="Arial" w:eastAsia="Arial" w:hAnsi="Arial"/>
                <w:sz w:val="14"/>
                <w:szCs w:val="14"/>
                <w:b w:val="1"/>
                <w:bCs w:val="1"/>
                <w:color w:val="auto"/>
              </w:rPr>
              <w:t>Net income</w:t>
            </w:r>
          </w:p>
        </w:tc>
        <w:tc>
          <w:tcPr>
            <w:tcW w:w="1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5"/>
            <w:vMerge w:val="continue"/>
          </w:tcPr>
          <w:p>
            <w:pPr>
              <w:spacing w:after="0"/>
              <w:rPr>
                <w:sz w:val="12"/>
                <w:szCs w:val="12"/>
                <w:color w:val="auto"/>
              </w:rPr>
            </w:pPr>
          </w:p>
        </w:tc>
        <w:tc>
          <w:tcPr>
            <w:tcW w:w="1280" w:type="dxa"/>
            <w:vAlign w:val="bottom"/>
            <w:gridSpan w:val="5"/>
            <w:vMerge w:val="continue"/>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(benefit) for</w:t>
            </w:r>
          </w:p>
        </w:tc>
        <w:tc>
          <w:tcPr>
            <w:tcW w:w="100" w:type="dxa"/>
            <w:vAlign w:val="bottom"/>
          </w:tcPr>
          <w:p>
            <w:pPr>
              <w:spacing w:after="0"/>
              <w:rPr>
                <w:sz w:val="12"/>
                <w:szCs w:val="12"/>
                <w:color w:val="auto"/>
              </w:rPr>
            </w:pPr>
          </w:p>
        </w:tc>
        <w:tc>
          <w:tcPr>
            <w:tcW w:w="132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rPr>
              <w:t>attributable to T.</w:t>
            </w: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2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expenses</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income</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income (loss)</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2"/>
          </w:tcPr>
          <w:p>
            <w:pPr>
              <w:jc w:val="center"/>
              <w:spacing w:after="0" w:line="189" w:lineRule="exact"/>
              <w:rPr>
                <w:sz w:val="20"/>
                <w:szCs w:val="20"/>
                <w:color w:val="auto"/>
              </w:rPr>
            </w:pPr>
            <w:r>
              <w:rPr>
                <w:rFonts w:ascii="Arial" w:cs="Arial" w:eastAsia="Arial" w:hAnsi="Arial"/>
                <w:sz w:val="14"/>
                <w:szCs w:val="14"/>
                <w:b w:val="1"/>
                <w:bCs w:val="1"/>
                <w:color w:val="auto"/>
              </w:rPr>
              <w:t>income taxes</w:t>
            </w:r>
            <w:r>
              <w:rPr>
                <w:rFonts w:ascii="Arial" w:cs="Arial" w:eastAsia="Arial" w:hAnsi="Arial"/>
                <w:sz w:val="18"/>
                <w:szCs w:val="18"/>
                <w:b w:val="1"/>
                <w:bCs w:val="1"/>
                <w:color w:val="auto"/>
                <w:vertAlign w:val="superscript"/>
              </w:rPr>
              <w:t>(6)</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Rowe Price</w:t>
            </w:r>
          </w:p>
        </w:tc>
        <w:tc>
          <w:tcPr>
            <w:tcW w:w="12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per share</w:t>
            </w:r>
            <w:r>
              <w:rPr>
                <w:rFonts w:ascii="Arial" w:cs="Arial" w:eastAsia="Arial" w:hAnsi="Arial"/>
                <w:sz w:val="9"/>
                <w:szCs w:val="9"/>
                <w:b w:val="1"/>
                <w:bCs w:val="1"/>
                <w:color w:val="auto"/>
              </w:rPr>
              <w:t>(7)</w:t>
            </w:r>
          </w:p>
        </w:tc>
        <w:tc>
          <w:tcPr>
            <w:tcW w:w="0" w:type="dxa"/>
            <w:vAlign w:val="bottom"/>
          </w:tcPr>
          <w:p>
            <w:pPr>
              <w:spacing w:after="0"/>
              <w:rPr>
                <w:sz w:val="1"/>
                <w:szCs w:val="1"/>
                <w:color w:val="auto"/>
              </w:rPr>
            </w:pPr>
          </w:p>
        </w:tc>
      </w:tr>
      <w:tr>
        <w:trPr>
          <w:trHeight w:val="196"/>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1,099.2</w:t>
            </w:r>
          </w:p>
        </w:tc>
        <w:tc>
          <w:tcPr>
            <w:tcW w:w="740" w:type="dxa"/>
            <w:vAlign w:val="bottom"/>
            <w:gridSpan w:val="2"/>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44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w w:val="96"/>
              </w:rPr>
              <w:t>862.5</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50.1</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740.6</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215"/>
        </w:trPr>
        <w:tc>
          <w:tcPr>
            <w:tcW w:w="326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260" w:type="dxa"/>
            <w:vAlign w:val="bottom"/>
            <w:shd w:val="clear" w:color="auto" w:fill="CCEEFF"/>
          </w:tcPr>
          <w:p>
            <w:pPr>
              <w:ind w:left="160"/>
              <w:spacing w:after="0" w:line="163" w:lineRule="exact"/>
              <w:rPr>
                <w:sz w:val="20"/>
                <w:szCs w:val="20"/>
                <w:color w:val="auto"/>
              </w:rPr>
            </w:pPr>
            <w:r>
              <w:rPr>
                <w:rFonts w:ascii="Arial" w:cs="Arial" w:eastAsia="Arial" w:hAnsi="Arial"/>
                <w:sz w:val="16"/>
                <w:szCs w:val="16"/>
                <w:color w:val="auto"/>
              </w:rPr>
              <w:t>Consolidated T. Rowe Price</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16"/>
        </w:trPr>
        <w:tc>
          <w:tcPr>
            <w:tcW w:w="3260" w:type="dxa"/>
            <w:vAlign w:val="bottom"/>
          </w:tcPr>
          <w:p>
            <w:pPr>
              <w:ind w:left="160"/>
              <w:spacing w:after="0" w:line="216" w:lineRule="exact"/>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gridSpan w:val="3"/>
          </w:tcPr>
          <w:p>
            <w:pPr>
              <w:jc w:val="right"/>
              <w:ind w:right="8"/>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4"/>
                <w:szCs w:val="14"/>
                <w:color w:val="auto"/>
              </w:rPr>
              <w:t>(23.7)</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120"/>
              <w:spacing w:after="0" w:line="216" w:lineRule="exact"/>
              <w:rPr>
                <w:sz w:val="20"/>
                <w:szCs w:val="20"/>
                <w:color w:val="auto"/>
              </w:rPr>
            </w:pPr>
            <w:r>
              <w:rPr>
                <w:rFonts w:ascii="Arial" w:cs="Arial" w:eastAsia="Arial" w:hAnsi="Arial"/>
                <w:sz w:val="16"/>
                <w:szCs w:val="16"/>
                <w:color w:val="auto"/>
              </w:rPr>
              <w:t>Acquisition-related transaction costs</w:t>
            </w:r>
            <w:r>
              <w:rPr>
                <w:rFonts w:ascii="Arial" w:cs="Arial" w:eastAsia="Arial" w:hAnsi="Arial"/>
                <w:sz w:val="21"/>
                <w:szCs w:val="21"/>
                <w:color w:val="auto"/>
                <w:vertAlign w:val="superscript"/>
              </w:rPr>
              <w:t>(3)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31.9</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16"/>
        </w:trPr>
        <w:tc>
          <w:tcPr>
            <w:tcW w:w="3260" w:type="dxa"/>
            <w:vAlign w:val="bottom"/>
            <w:tcBorders>
              <w:bottom w:val="single" w:sz="8" w:color="CCEEFF"/>
            </w:tcBorders>
          </w:tcPr>
          <w:p>
            <w:pPr>
              <w:ind w:left="16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(5)</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(27.1)</w:t>
            </w: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1,042.1</w:t>
            </w:r>
          </w:p>
        </w:tc>
        <w:tc>
          <w:tcPr>
            <w:tcW w:w="740" w:type="dxa"/>
            <w:vAlign w:val="bottom"/>
            <w:gridSpan w:val="2"/>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44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w w:val="96"/>
              </w:rPr>
              <w:t>920.9</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80"/>
          </w:cols>
          <w:pgMar w:left="320" w:top="1066" w:right="399" w:bottom="1440" w:gutter="0" w:footer="0" w:header="0"/>
        </w:sectPr>
      </w:pPr>
    </w:p>
    <w:bookmarkStart w:id="57" w:name="page58"/>
    <w:bookmarkEnd w:id="57"/>
    <w:p>
      <w:pPr>
        <w:ind w:left="340" w:right="100" w:hanging="332"/>
        <w:spacing w:after="0" w:line="246" w:lineRule="auto"/>
        <w:tabs>
          <w:tab w:leader="none" w:pos="341" w:val="left"/>
        </w:tabs>
        <w:numPr>
          <w:ilvl w:val="0"/>
          <w:numId w:val="39"/>
        </w:numPr>
        <w:rPr>
          <w:rFonts w:ascii="Arial" w:cs="Arial" w:eastAsia="Arial" w:hAnsi="Arial"/>
          <w:sz w:val="22"/>
          <w:szCs w:val="22"/>
          <w:color w:val="auto"/>
          <w:vertAlign w:val="superscript"/>
        </w:rPr>
      </w:pPr>
      <w:r>
        <w:rPr>
          <w:rFonts w:ascii="Arial" w:cs="Arial" w:eastAsia="Arial" w:hAnsi="Arial"/>
          <w:sz w:val="16"/>
          <w:szCs w:val="16"/>
          <w:color w:val="auto"/>
        </w:rPr>
        <w:t>These non-GAAP adjustments remove the impact that the consolidated T. Rowe Price investment products have on the firm's U.S. GAAP consolidated statements of income. Specifically, the firm adds back the operating expenses and subtracts the investment income of the consolidated T. Rowe Price investment products. The adjustment to operating expenses represents the operating expenses of the consolidated products, net of the elimination of related management and administrative fees. The adjustment to net income attributable to T. Rowe Price represents the net income of the consolidated products, net of redeemable non-controlling interests. Management believes the consolidated T. Rowe Price investment products may impact the reader’s ability to understand the firm's core operating results.</w:t>
      </w:r>
    </w:p>
    <w:p>
      <w:pPr>
        <w:spacing w:after="0" w:line="215" w:lineRule="exact"/>
        <w:rPr>
          <w:rFonts w:ascii="Arial" w:cs="Arial" w:eastAsia="Arial" w:hAnsi="Arial"/>
          <w:sz w:val="22"/>
          <w:szCs w:val="22"/>
          <w:color w:val="auto"/>
          <w:vertAlign w:val="superscript"/>
        </w:rPr>
      </w:pPr>
    </w:p>
    <w:p>
      <w:pPr>
        <w:ind w:left="340" w:hanging="332"/>
        <w:spacing w:after="0" w:line="246" w:lineRule="auto"/>
        <w:tabs>
          <w:tab w:leader="none" w:pos="341" w:val="left"/>
        </w:tabs>
        <w:numPr>
          <w:ilvl w:val="0"/>
          <w:numId w:val="39"/>
        </w:numPr>
        <w:rPr>
          <w:rFonts w:ascii="Arial" w:cs="Arial" w:eastAsia="Arial" w:hAnsi="Arial"/>
          <w:sz w:val="22"/>
          <w:szCs w:val="22"/>
          <w:color w:val="auto"/>
          <w:vertAlign w:val="superscript"/>
        </w:rPr>
      </w:pPr>
      <w:r>
        <w:rPr>
          <w:rFonts w:ascii="Arial" w:cs="Arial" w:eastAsia="Arial" w:hAnsi="Arial"/>
          <w:sz w:val="16"/>
          <w:szCs w:val="16"/>
          <w:color w:val="auto"/>
        </w:rPr>
        <w:t>This non-GAAP adjustment removes the compensation expense impact from market valuation changes in the supplemental savings plan liability and the related net gains (losses) on investments designated as an economic hedge against the related liability. Amounts deferred under the supplemental savings plan are adjusted for appreciation (depreciation) of hypothetical investments chosen by participants. The firm uses T. Rowe Price investment products to economically hedge the exposure to these market movements. Management believes it is useful to offset the non-operating investment income (loss) realized on the economic hedges against the related compensation expense and remove the net impact to help the reader's ability to understand the firm's core operating results and to increase comparability period to period.</w:t>
      </w:r>
    </w:p>
    <w:p>
      <w:pPr>
        <w:spacing w:after="0" w:line="215" w:lineRule="exact"/>
        <w:rPr>
          <w:rFonts w:ascii="Arial" w:cs="Arial" w:eastAsia="Arial" w:hAnsi="Arial"/>
          <w:sz w:val="22"/>
          <w:szCs w:val="22"/>
          <w:color w:val="auto"/>
          <w:vertAlign w:val="superscript"/>
        </w:rPr>
      </w:pPr>
    </w:p>
    <w:p>
      <w:pPr>
        <w:ind w:left="340" w:right="620" w:hanging="332"/>
        <w:spacing w:after="0" w:line="229" w:lineRule="auto"/>
        <w:tabs>
          <w:tab w:leader="none" w:pos="341" w:val="left"/>
        </w:tabs>
        <w:numPr>
          <w:ilvl w:val="0"/>
          <w:numId w:val="39"/>
        </w:numPr>
        <w:rPr>
          <w:rFonts w:ascii="Arial" w:cs="Arial" w:eastAsia="Arial" w:hAnsi="Arial"/>
          <w:sz w:val="22"/>
          <w:szCs w:val="22"/>
          <w:color w:val="auto"/>
          <w:vertAlign w:val="superscript"/>
        </w:rPr>
      </w:pPr>
      <w:r>
        <w:rPr>
          <w:rFonts w:ascii="Arial" w:cs="Arial" w:eastAsia="Arial" w:hAnsi="Arial"/>
          <w:sz w:val="16"/>
          <w:szCs w:val="16"/>
          <w:color w:val="auto"/>
        </w:rPr>
        <w:t>This non-GAAP adjustment removes the transactions costs incurred related to the acquisition of OHA. Management believes adjusting for these charges helps the reader's ability to understand the firm's core operating results and to increase comparability period to period.</w:t>
      </w:r>
    </w:p>
    <w:p>
      <w:pPr>
        <w:spacing w:after="0" w:line="231" w:lineRule="exact"/>
        <w:rPr>
          <w:rFonts w:ascii="Arial" w:cs="Arial" w:eastAsia="Arial" w:hAnsi="Arial"/>
          <w:sz w:val="22"/>
          <w:szCs w:val="22"/>
          <w:color w:val="auto"/>
          <w:vertAlign w:val="superscript"/>
        </w:rPr>
      </w:pPr>
    </w:p>
    <w:p>
      <w:pPr>
        <w:ind w:left="340" w:hanging="332"/>
        <w:spacing w:after="0" w:line="241" w:lineRule="auto"/>
        <w:tabs>
          <w:tab w:leader="none" w:pos="341" w:val="left"/>
        </w:tabs>
        <w:numPr>
          <w:ilvl w:val="0"/>
          <w:numId w:val="39"/>
        </w:numPr>
        <w:rPr>
          <w:rFonts w:ascii="Arial" w:cs="Arial" w:eastAsia="Arial" w:hAnsi="Arial"/>
          <w:sz w:val="22"/>
          <w:szCs w:val="22"/>
          <w:color w:val="auto"/>
          <w:vertAlign w:val="superscript"/>
        </w:rPr>
      </w:pPr>
      <w:r>
        <w:rPr>
          <w:rFonts w:ascii="Arial" w:cs="Arial" w:eastAsia="Arial" w:hAnsi="Arial"/>
          <w:sz w:val="16"/>
          <w:szCs w:val="16"/>
          <w:color w:val="auto"/>
        </w:rPr>
        <w:t>These non-GAAP adjustments remove the impact of acquisition-related amortization and costs including amortization of intangible assets, the recurring fair value remeasurements of the contingent consideration liability, amortization of acquired investment and non-controlling interest basis differences and amortization of compensation-related arrangements. Management believes adjusting for these charges helps the reader's ability to understand the firm's core operating results and to increase comparability period to period.</w:t>
      </w:r>
    </w:p>
    <w:p>
      <w:pPr>
        <w:spacing w:after="0" w:line="217" w:lineRule="exact"/>
        <w:rPr>
          <w:rFonts w:ascii="Arial" w:cs="Arial" w:eastAsia="Arial" w:hAnsi="Arial"/>
          <w:sz w:val="22"/>
          <w:szCs w:val="22"/>
          <w:color w:val="auto"/>
          <w:vertAlign w:val="superscript"/>
        </w:rPr>
      </w:pPr>
    </w:p>
    <w:p>
      <w:pPr>
        <w:ind w:left="340" w:right="40" w:hanging="332"/>
        <w:spacing w:after="0" w:line="244" w:lineRule="auto"/>
        <w:tabs>
          <w:tab w:leader="none" w:pos="341" w:val="left"/>
        </w:tabs>
        <w:numPr>
          <w:ilvl w:val="0"/>
          <w:numId w:val="39"/>
        </w:numPr>
        <w:rPr>
          <w:rFonts w:ascii="Arial" w:cs="Arial" w:eastAsia="Arial" w:hAnsi="Arial"/>
          <w:sz w:val="22"/>
          <w:szCs w:val="22"/>
          <w:color w:val="auto"/>
          <w:vertAlign w:val="superscript"/>
        </w:rPr>
      </w:pPr>
      <w:r>
        <w:rPr>
          <w:rFonts w:ascii="Arial" w:cs="Arial" w:eastAsia="Arial" w:hAnsi="Arial"/>
          <w:sz w:val="16"/>
          <w:szCs w:val="16"/>
          <w:color w:val="auto"/>
        </w:rPr>
        <w:t>This non-GAAP adjustment represents the other non-operating income (loss) and the net gains (losses) earned on the firm's non-consolidated investment portfolio that are not designated as economic hedges of the supplemental savings plan liability, and that are not part of the cash and discretionary investment portfolio. Management retains the investment gains recognized on the non-consolidated cash and discretionary investments as these assets and related income (loss) are considered part of the firm's core operations. Management believes adjusting for these non-operating income (loss) items helps the reader’s ability to understand the firm's core operating results and increases comparability to prior years. Additionally, management does not emphasize the impact of the portion of non-operating income (loss) removed when managing and evaluating the firm's performance.</w:t>
      </w:r>
    </w:p>
    <w:p>
      <w:pPr>
        <w:spacing w:after="0" w:line="200" w:lineRule="exact"/>
        <w:rPr>
          <w:rFonts w:ascii="Arial" w:cs="Arial" w:eastAsia="Arial" w:hAnsi="Arial"/>
          <w:sz w:val="22"/>
          <w:szCs w:val="22"/>
          <w:color w:val="auto"/>
          <w:vertAlign w:val="superscript"/>
        </w:rPr>
      </w:pPr>
    </w:p>
    <w:p>
      <w:pPr>
        <w:spacing w:after="0" w:line="227" w:lineRule="exact"/>
        <w:rPr>
          <w:rFonts w:ascii="Arial" w:cs="Arial" w:eastAsia="Arial" w:hAnsi="Arial"/>
          <w:sz w:val="22"/>
          <w:szCs w:val="22"/>
          <w:color w:val="auto"/>
          <w:vertAlign w:val="superscript"/>
        </w:rPr>
      </w:pPr>
    </w:p>
    <w:p>
      <w:pPr>
        <w:jc w:val="both"/>
        <w:ind w:left="340" w:right="100" w:hanging="332"/>
        <w:spacing w:after="0" w:line="229" w:lineRule="auto"/>
        <w:tabs>
          <w:tab w:leader="none" w:pos="341" w:val="left"/>
        </w:tabs>
        <w:numPr>
          <w:ilvl w:val="0"/>
          <w:numId w:val="39"/>
        </w:numPr>
        <w:rPr>
          <w:rFonts w:ascii="Arial" w:cs="Arial" w:eastAsia="Arial" w:hAnsi="Arial"/>
          <w:sz w:val="22"/>
          <w:szCs w:val="22"/>
          <w:color w:val="auto"/>
          <w:vertAlign w:val="superscript"/>
        </w:rPr>
      </w:pPr>
      <w:r>
        <w:rPr>
          <w:rFonts w:ascii="Arial" w:cs="Arial" w:eastAsia="Arial" w:hAnsi="Arial"/>
          <w:sz w:val="16"/>
          <w:szCs w:val="16"/>
          <w:color w:val="auto"/>
        </w:rPr>
        <w:t>The income tax impacts were calculated in order to achieve an overall year-to-date non-GAAP effective tax rate of 24.2% for 2022 and 23.7% for 2021, and 20.0% for Q4 2021. The firm estimates that its effective tax rate for the full-year 2022 on a non-GAAP basis will be in the range of 23.0% to 25.0%.</w:t>
      </w:r>
    </w:p>
    <w:p>
      <w:pPr>
        <w:spacing w:after="0" w:line="217" w:lineRule="exact"/>
        <w:rPr>
          <w:rFonts w:ascii="Arial" w:cs="Arial" w:eastAsia="Arial" w:hAnsi="Arial"/>
          <w:sz w:val="22"/>
          <w:szCs w:val="22"/>
          <w:color w:val="auto"/>
          <w:vertAlign w:val="superscript"/>
        </w:rPr>
      </w:pPr>
    </w:p>
    <w:p>
      <w:pPr>
        <w:ind w:left="340" w:right="280" w:hanging="332"/>
        <w:spacing w:after="0" w:line="239" w:lineRule="auto"/>
        <w:tabs>
          <w:tab w:leader="none" w:pos="341" w:val="left"/>
        </w:tabs>
        <w:numPr>
          <w:ilvl w:val="0"/>
          <w:numId w:val="39"/>
        </w:numPr>
        <w:rPr>
          <w:rFonts w:ascii="Arial" w:cs="Arial" w:eastAsia="Arial" w:hAnsi="Arial"/>
          <w:sz w:val="22"/>
          <w:szCs w:val="22"/>
          <w:color w:val="auto"/>
          <w:vertAlign w:val="superscript"/>
        </w:rPr>
      </w:pPr>
      <w:r>
        <w:rPr>
          <w:rFonts w:ascii="Arial" w:cs="Arial" w:eastAsia="Arial" w:hAnsi="Arial"/>
          <w:sz w:val="16"/>
          <w:szCs w:val="16"/>
          <w:color w:val="auto"/>
        </w:rPr>
        <w:t>This non-GAAP measure was calculated by applying the two-class method to adjusted net income attributable to T. Rowe Price Group divided by the weighted-average common shares outstanding assuming dilution. The calculation of adjusted net income allocated to common stockholders is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2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Borders>
              <w:bottom w:val="single" w:sz="8" w:color="auto"/>
            </w:tcBorders>
            <w:shd w:val="clear" w:color="auto" w:fill="CCEEFF"/>
          </w:tcPr>
          <w:p>
            <w:pPr>
              <w:spacing w:after="0"/>
              <w:rPr>
                <w:sz w:val="17"/>
                <w:szCs w:val="17"/>
                <w:color w:val="auto"/>
              </w:rPr>
            </w:pPr>
          </w:p>
        </w:tc>
      </w:tr>
      <w:tr>
        <w:trPr>
          <w:trHeight w:val="195"/>
        </w:trPr>
        <w:tc>
          <w:tcPr>
            <w:tcW w:w="79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3/31/2022</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3/31/2021</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12/31/2021</w:t>
            </w:r>
          </w:p>
        </w:tc>
      </w:tr>
      <w:tr>
        <w:trPr>
          <w:trHeight w:val="197"/>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income attributable to T. Rowe Price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616.9</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736.7</w:t>
            </w:r>
          </w:p>
        </w:tc>
      </w:tr>
      <w:tr>
        <w:trPr>
          <w:trHeight w:val="215"/>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adjusted net income allocated to outstanding restricted stock and stock unit holders</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w:t>
            </w:r>
          </w:p>
        </w:tc>
      </w:tr>
      <w:tr>
        <w:trPr>
          <w:trHeight w:val="222"/>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income allocated to common stockholders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602.8</w:t>
            </w: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693.1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718.3</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sectPr>
      <w:pgSz w:w="11900" w:h="16838" w:orient="portrait"/>
      <w:cols w:equalWidth="0" w:num="1">
        <w:col w:w="11240"/>
      </w:cols>
      <w:pgMar w:left="320" w:top="10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decimal"/>
      <w:start w:val="3"/>
    </w:lvl>
  </w:abstractNum>
  <w:abstractNum w:abstractNumId="10">
    <w:nsid w:val="79838CB2"/>
    <w:multiLevelType w:val="hybridMultilevel"/>
    <w:lvl w:ilvl="0">
      <w:lvlJc w:val="left"/>
      <w:lvlText w:val="(%1)"/>
      <w:numFmt w:val="decimal"/>
      <w:start w:val="6"/>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1)"/>
      <w:numFmt w:val="decimal"/>
      <w:start w:val="4"/>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lowerLetter"/>
      <w:start w:val="1"/>
    </w:lvl>
  </w:abstractNum>
  <w:abstractNum w:abstractNumId="19">
    <w:nsid w:val="3A95F874"/>
    <w:multiLevelType w:val="hybridMultilevel"/>
    <w:lvl w:ilvl="0">
      <w:lvlJc w:val="left"/>
      <w:lvlText w:val="(%1)"/>
      <w:numFmt w:val="lowerLetter"/>
      <w:start w:val="1"/>
    </w:lvl>
  </w:abstractNum>
  <w:abstractNum w:abstractNumId="20">
    <w:nsid w:val="8138641"/>
    <w:multiLevelType w:val="hybridMultilevel"/>
    <w:lvl w:ilvl="0">
      <w:lvlJc w:val="left"/>
      <w:lvlText w:val="(%1)"/>
      <w:numFmt w:val="lowerLetter"/>
      <w:start w:val="1"/>
    </w:lvl>
  </w:abstractNum>
  <w:abstractNum w:abstractNumId="21">
    <w:nsid w:val="1E7FF521"/>
    <w:multiLevelType w:val="hybridMultilevel"/>
    <w:lvl w:ilvl="0">
      <w:lvlJc w:val="left"/>
      <w:lvlText w:val="(%1)"/>
      <w:numFmt w:val="lowerLetter"/>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1)"/>
      <w:numFmt w:val="decimal"/>
      <w:start w:val="4"/>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abstractNum>
  <w:abstractNum w:abstractNumId="36">
    <w:nsid w:val="5C482A97"/>
    <w:multiLevelType w:val="hybridMultilevel"/>
    <w:lvl w:ilvl="0">
      <w:lvlJc w:val="left"/>
      <w:lvlText w:val="(%1)"/>
      <w:numFmt w:val="decimal"/>
      <w:start w:val="3"/>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jpe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56" Type="http://schemas.openxmlformats.org/officeDocument/2006/relationships/hyperlink" Target="http://www.sec.gov/Archives/edgar/data/1113169/000111316918000018/articlesofrestatementfin.htm" TargetMode="External"/><Relationship Id="rId57" Type="http://schemas.openxmlformats.org/officeDocument/2006/relationships/hyperlink" Target="https://www.sec.gov/Archives/edgar/data/1113169/000111316921000006/exhibit3-1trpgamendedand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2022-04-28T14:38:02Z</dcterms:created>
  <dcterms:modified xsi:type="dcterms:W3CDTF">2022-04-28T14:38:02Z</dcterms:modified>
</cp:coreProperties>
</file>