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2013</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25"/>
                <w:szCs w:val="25"/>
                <w:b w:val="1"/>
                <w:bCs w:val="1"/>
                <w:color w:val="auto"/>
                <w:w w:val="99"/>
              </w:rPr>
              <w:t>T. ROWE PRICE GROUP, INC.</w:t>
            </w:r>
          </w:p>
        </w:tc>
        <w:tc>
          <w:tcPr>
            <w:tcW w:w="11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20" w:type="dxa"/>
            <w:vAlign w:val="bottom"/>
            <w:gridSpan w:val="9"/>
          </w:tcPr>
          <w:p>
            <w:pPr>
              <w:jc w:val="center"/>
              <w:ind w:right="980"/>
              <w:spacing w:after="0"/>
              <w:rPr>
                <w:sz w:val="20"/>
                <w:szCs w:val="20"/>
                <w:color w:val="auto"/>
              </w:rPr>
            </w:pPr>
            <w:r>
              <w:rPr>
                <w:rFonts w:ascii="Arial" w:cs="Arial" w:eastAsia="Arial" w:hAnsi="Arial"/>
                <w:sz w:val="18"/>
                <w:szCs w:val="18"/>
                <w:color w:val="auto"/>
                <w:w w:val="90"/>
              </w:rPr>
              <w:t>(Exact name of registrant as specified in its charter)</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92"/>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2020" w:type="dxa"/>
            <w:vAlign w:val="bottom"/>
            <w:gridSpan w:val="4"/>
          </w:tcPr>
          <w:p>
            <w:pPr>
              <w:spacing w:after="0"/>
              <w:rPr>
                <w:sz w:val="24"/>
                <w:szCs w:val="24"/>
                <w:color w:val="auto"/>
              </w:rPr>
            </w:pPr>
          </w:p>
        </w:tc>
        <w:tc>
          <w:tcPr>
            <w:tcW w:w="436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52-2264646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2"/>
              </w:rPr>
              <w:t>State of incorporation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8"/>
                <w:szCs w:val="18"/>
                <w:color w:val="auto"/>
                <w:w w:val="94"/>
              </w:rPr>
              <w:t>IRS Employer Identification No.</w:t>
            </w:r>
          </w:p>
        </w:tc>
      </w:tr>
      <w:tr>
        <w:trPr>
          <w:trHeight w:val="257"/>
        </w:trPr>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92"/>
              </w:rPr>
              <w:t>100 East Pratt Street, Baltimore, Maryland 21202</w:t>
            </w: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80" w:type="dxa"/>
            <w:vAlign w:val="bottom"/>
            <w:gridSpan w:val="10"/>
          </w:tcPr>
          <w:p>
            <w:pPr>
              <w:jc w:val="center"/>
              <w:ind w:right="320"/>
              <w:spacing w:after="0"/>
              <w:rPr>
                <w:sz w:val="20"/>
                <w:szCs w:val="20"/>
                <w:color w:val="auto"/>
              </w:rPr>
            </w:pPr>
            <w:r>
              <w:rPr>
                <w:rFonts w:ascii="Arial" w:cs="Arial" w:eastAsia="Arial" w:hAnsi="Arial"/>
                <w:sz w:val="18"/>
                <w:szCs w:val="18"/>
                <w:color w:val="auto"/>
                <w:w w:val="92"/>
              </w:rPr>
              <w:t>Address, including zip code, of principal executive offices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(410) 345-2000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color w:val="auto"/>
                <w:w w:val="89"/>
              </w:rPr>
              <w:t>Registrant’s telephone number, including area code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92"/>
        </w:trPr>
        <w:tc>
          <w:tcPr>
            <w:tcW w:w="1200" w:type="dxa"/>
            <w:vAlign w:val="bottom"/>
          </w:tcPr>
          <w:p>
            <w:pPr>
              <w:spacing w:after="0"/>
              <w:rPr>
                <w:sz w:val="24"/>
                <w:szCs w:val="2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Common stock, $.20 par value per share</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160" w:type="dxa"/>
            <w:vAlign w:val="bottom"/>
          </w:tcPr>
          <w:p>
            <w:pPr>
              <w:spacing w:after="0"/>
              <w:rPr>
                <w:sz w:val="24"/>
                <w:szCs w:val="24"/>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4"/>
              </w:rPr>
              <w:t>(Title of class)</w:t>
            </w:r>
          </w:p>
        </w:tc>
        <w:tc>
          <w:tcPr>
            <w:tcW w:w="1120" w:type="dxa"/>
            <w:vAlign w:val="bottom"/>
          </w:tcPr>
          <w:p>
            <w:pPr>
              <w:spacing w:after="0"/>
              <w:rPr>
                <w:sz w:val="24"/>
                <w:szCs w:val="24"/>
                <w:color w:val="auto"/>
              </w:rPr>
            </w:pPr>
          </w:p>
        </w:tc>
        <w:tc>
          <w:tcPr>
            <w:tcW w:w="3880" w:type="dxa"/>
            <w:vAlign w:val="bottom"/>
            <w:gridSpan w:val="9"/>
          </w:tcPr>
          <w:p>
            <w:pPr>
              <w:jc w:val="center"/>
              <w:ind w:left="850"/>
              <w:spacing w:after="0"/>
              <w:rPr>
                <w:sz w:val="20"/>
                <w:szCs w:val="20"/>
                <w:color w:val="auto"/>
              </w:rPr>
            </w:pPr>
            <w:r>
              <w:rPr>
                <w:rFonts w:ascii="Arial" w:cs="Arial" w:eastAsia="Arial" w:hAnsi="Arial"/>
                <w:sz w:val="18"/>
                <w:szCs w:val="18"/>
                <w:color w:val="auto"/>
                <w:w w:val="90"/>
              </w:rPr>
              <w:t>(Name of exchange on which registered)</w:t>
            </w:r>
          </w:p>
        </w:tc>
      </w:tr>
      <w:tr>
        <w:trPr>
          <w:trHeight w:val="297"/>
        </w:trPr>
        <w:tc>
          <w:tcPr>
            <w:tcW w:w="8620" w:type="dxa"/>
            <w:vAlign w:val="bottom"/>
            <w:gridSpan w:val="1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[X] Yes  </w:t>
            </w: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 No</w:t>
            </w:r>
          </w:p>
        </w:tc>
      </w:tr>
      <w:tr>
        <w:trPr>
          <w:trHeight w:val="324"/>
        </w:trPr>
        <w:tc>
          <w:tcPr>
            <w:tcW w:w="8620" w:type="dxa"/>
            <w:vAlign w:val="bottom"/>
            <w:gridSpan w:val="1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  ] Yes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[X] No</w:t>
            </w:r>
          </w:p>
        </w:tc>
      </w:tr>
    </w:tbl>
    <w:p>
      <w:pPr>
        <w:spacing w:after="0" w:line="94"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6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7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sectPr>
      </w:pPr>
    </w:p>
    <w:p>
      <w:pPr>
        <w:spacing w:after="0" w:line="8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63" w:lineRule="exact"/>
        <w:rPr>
          <w:sz w:val="24"/>
          <w:szCs w:val="24"/>
          <w:color w:val="auto"/>
        </w:rPr>
      </w:pPr>
    </w:p>
    <w:p>
      <w:pPr>
        <w:sectPr>
          <w:pgSz w:w="11900" w:h="16838" w:orient="portrait"/>
          <w:cols w:equalWidth="0" w:num="4">
            <w:col w:w="2560" w:space="720"/>
            <w:col w:w="3340" w:space="720"/>
            <w:col w:w="2520" w:space="720"/>
            <w:col w:w="780"/>
          </w:cols>
          <w:pgMar w:left="240" w:top="233"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86" w:lineRule="exact"/>
        <w:rPr>
          <w:sz w:val="24"/>
          <w:szCs w:val="24"/>
          <w:color w:val="auto"/>
        </w:rPr>
      </w:pPr>
    </w:p>
    <w:p>
      <w:pPr>
        <w:sectPr>
          <w:pgSz w:w="11900" w:h="16838" w:orient="portrait"/>
          <w:cols w:equalWidth="0" w:num="4">
            <w:col w:w="2560" w:space="720"/>
            <w:col w:w="3340" w:space="720"/>
            <w:col w:w="2520" w:space="720"/>
            <w:col w:w="780"/>
          </w:cols>
          <w:pgMar w:left="240" w:top="233" w:right="29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tabs>
          <w:tab w:leader="none" w:pos="100" w:val="left"/>
        </w:tabs>
        <w:rPr>
          <w:sz w:val="20"/>
          <w:szCs w:val="20"/>
          <w:color w:val="auto"/>
        </w:rPr>
      </w:pPr>
      <w:r>
        <w:rPr>
          <w:rFonts w:ascii="Arial" w:cs="Arial" w:eastAsia="Arial" w:hAnsi="Arial"/>
          <w:sz w:val="18"/>
          <w:szCs w:val="18"/>
          <w:color w:val="auto"/>
        </w:rPr>
        <w:t>[</w:t>
        <w:tab/>
        <w: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[X] No</w:t>
      </w:r>
    </w:p>
    <w:p>
      <w:pPr>
        <w:spacing w:after="0" w:line="121" w:lineRule="exact"/>
        <w:rPr>
          <w:sz w:val="24"/>
          <w:szCs w:val="24"/>
          <w:color w:val="auto"/>
        </w:rPr>
      </w:pPr>
    </w:p>
    <w:p>
      <w:pPr>
        <w:sectPr>
          <w:pgSz w:w="11900" w:h="16838" w:orient="portrait"/>
          <w:cols w:equalWidth="0" w:num="3">
            <w:col w:w="7440" w:space="180"/>
            <w:col w:w="600" w:space="180"/>
            <w:col w:w="2960"/>
          </w:cols>
          <w:pgMar w:left="240" w:top="233" w:right="299" w:bottom="1440" w:gutter="0" w:footer="0" w:header="0"/>
          <w:type w:val="continuous"/>
        </w:sectPr>
      </w:pPr>
    </w:p>
    <w:p>
      <w:pPr>
        <w:jc w:val="both"/>
        <w:ind w:right="440"/>
        <w:spacing w:after="0" w:line="264"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computed using $73.20 per share (the NASDAQ Official Closing Price on June 28, 2013, the last business day of the registrant’s most recently completed second fiscal quarter) was $18.5 billion.</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January 31, 2014, is 262,233,100.</w:t>
      </w:r>
    </w:p>
    <w:p>
      <w:pPr>
        <w:spacing w:after="0" w:line="11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2014 Annual Meeting of Stockholders to be filed pursuant to Regulation 14A.</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56.</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20"/>
          </w:tcPr>
          <w:p>
            <w:pPr>
              <w:ind w:left="140"/>
              <w:spacing w:after="0"/>
              <w:rPr>
                <w:rFonts w:ascii="Arial" w:cs="Arial" w:eastAsia="Arial" w:hAnsi="Arial"/>
                <w:sz w:val="18"/>
                <w:szCs w:val="18"/>
                <w:color w:val="0000CC"/>
              </w:rPr>
            </w:pPr>
            <w:hyperlink w:anchor="page1">
              <w:r>
                <w:rPr>
                  <w:rFonts w:ascii="Arial" w:cs="Arial" w:eastAsia="Arial" w:hAnsi="Arial"/>
                  <w:sz w:val="18"/>
                  <w:szCs w:val="18"/>
                  <w:color w:val="0000CC"/>
                </w:rPr>
                <w:t>Table of Contents</w:t>
              </w:r>
            </w:hyperlink>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1"/>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0000CC"/>
            </w:tcBorders>
          </w:tcPr>
          <w:p>
            <w:pPr>
              <w:spacing w:after="0"/>
              <w:rPr>
                <w:sz w:val="24"/>
                <w:szCs w:val="24"/>
                <w:color w:val="auto"/>
              </w:rPr>
            </w:pPr>
          </w:p>
        </w:tc>
        <w:tc>
          <w:tcPr>
            <w:tcW w:w="540" w:type="dxa"/>
            <w:vAlign w:val="bottom"/>
            <w:tcBorders>
              <w:top w:val="single" w:sz="8" w:color="0000CC"/>
            </w:tcBorders>
          </w:tcPr>
          <w:p>
            <w:pPr>
              <w:spacing w:after="0"/>
              <w:rPr>
                <w:sz w:val="24"/>
                <w:szCs w:val="24"/>
                <w:color w:val="auto"/>
              </w:rPr>
            </w:pPr>
          </w:p>
        </w:tc>
        <w:tc>
          <w:tcPr>
            <w:tcW w:w="280" w:type="dxa"/>
            <w:vAlign w:val="bottom"/>
            <w:tcBorders>
              <w:top w:val="single" w:sz="8" w:color="0000CC"/>
            </w:tcBorders>
          </w:tcPr>
          <w:p>
            <w:pPr>
              <w:spacing w:after="0"/>
              <w:rPr>
                <w:sz w:val="24"/>
                <w:szCs w:val="24"/>
                <w:color w:val="auto"/>
              </w:rPr>
            </w:pPr>
          </w:p>
        </w:tc>
        <w:tc>
          <w:tcPr>
            <w:tcW w:w="360" w:type="dxa"/>
            <w:vAlign w:val="bottom"/>
            <w:tcBorders>
              <w:top w:val="single" w:sz="8" w:color="0000CC"/>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700" w:type="dxa"/>
            <w:vAlign w:val="bottom"/>
            <w:gridSpan w:val="10"/>
          </w:tcPr>
          <w:p>
            <w:pPr>
              <w:jc w:val="center"/>
              <w:ind w:right="4180"/>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PART I</w:t>
              </w:r>
            </w:hyperlink>
          </w:p>
        </w:tc>
        <w:tc>
          <w:tcPr>
            <w:tcW w:w="780" w:type="dxa"/>
            <w:vAlign w:val="bottom"/>
          </w:tcPr>
          <w:p>
            <w:pPr>
              <w:spacing w:after="0"/>
              <w:rPr>
                <w:sz w:val="21"/>
                <w:szCs w:val="21"/>
                <w:color w:val="auto"/>
              </w:rPr>
            </w:pPr>
          </w:p>
        </w:tc>
        <w:tc>
          <w:tcPr>
            <w:tcW w:w="460" w:type="dxa"/>
            <w:vAlign w:val="bottom"/>
            <w:tcBorders>
              <w:top w:val="single" w:sz="8" w:color="auto"/>
            </w:tcBorders>
            <w:gridSpan w:val="3"/>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520" w:type="dxa"/>
            <w:vAlign w:val="bottom"/>
            <w:gridSpan w:val="15"/>
          </w:tcPr>
          <w:p>
            <w:pPr>
              <w:spacing w:after="0"/>
              <w:rPr>
                <w:sz w:val="21"/>
                <w:szCs w:val="21"/>
                <w:color w:val="auto"/>
              </w:rPr>
            </w:pPr>
          </w:p>
        </w:tc>
        <w:tc>
          <w:tcPr>
            <w:tcW w:w="520" w:type="dxa"/>
            <w:vAlign w:val="bottom"/>
            <w:tcBorders>
              <w:top w:val="single" w:sz="8" w:color="0000EE"/>
            </w:tcBorders>
            <w:gridSpan w:val="2"/>
          </w:tcPr>
          <w:p>
            <w:pPr>
              <w:spacing w:after="0"/>
              <w:rPr>
                <w:sz w:val="21"/>
                <w:szCs w:val="21"/>
                <w:color w:val="auto"/>
              </w:rPr>
            </w:pPr>
          </w:p>
        </w:tc>
        <w:tc>
          <w:tcPr>
            <w:tcW w:w="4180" w:type="dxa"/>
            <w:vAlign w:val="bottom"/>
            <w:gridSpan w:val="8"/>
          </w:tcPr>
          <w:p>
            <w:pPr>
              <w:spacing w:after="0"/>
              <w:rPr>
                <w:sz w:val="21"/>
                <w:szCs w:val="21"/>
                <w:color w:val="auto"/>
              </w:rPr>
            </w:pPr>
          </w:p>
        </w:tc>
        <w:tc>
          <w:tcPr>
            <w:tcW w:w="114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7960" w:type="dxa"/>
            <w:vAlign w:val="bottom"/>
            <w:gridSpan w:val="23"/>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Unresolved Staff Comments</w:t>
              </w:r>
            </w:hyperlink>
          </w:p>
        </w:tc>
        <w:tc>
          <w:tcPr>
            <w:tcW w:w="6820" w:type="dxa"/>
            <w:vAlign w:val="bottom"/>
            <w:gridSpan w:val="18"/>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6820" w:type="dxa"/>
            <w:vAlign w:val="bottom"/>
            <w:gridSpan w:val="18"/>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60" w:type="dxa"/>
            <w:vAlign w:val="bottom"/>
            <w:gridSpan w:val="2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124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60" w:type="dxa"/>
            <w:vAlign w:val="bottom"/>
            <w:gridSpan w:val="2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124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w:t>
            </w:r>
          </w:p>
        </w:tc>
        <w:tc>
          <w:tcPr>
            <w:tcW w:w="8860" w:type="dxa"/>
            <w:vAlign w:val="bottom"/>
            <w:gridSpan w:val="2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Executive Officers of the Registrant</w:t>
              </w:r>
            </w:hyperlink>
          </w:p>
        </w:tc>
        <w:tc>
          <w:tcPr>
            <w:tcW w:w="124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18</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5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jc w:val="cente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PART II</w:t>
              </w:r>
            </w:hyperlink>
          </w:p>
        </w:tc>
        <w:tc>
          <w:tcPr>
            <w:tcW w:w="4140" w:type="dxa"/>
            <w:vAlign w:val="bottom"/>
            <w:gridSpan w:val="7"/>
          </w:tcPr>
          <w:p>
            <w:pPr>
              <w:spacing w:after="0"/>
              <w:rPr>
                <w:sz w:val="24"/>
                <w:szCs w:val="24"/>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60" w:type="dxa"/>
            <w:vAlign w:val="bottom"/>
            <w:gridSpan w:val="26"/>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Market for Registrant’s Common Equity, Related Stockholder Matters and Issuer Purchases of Equity Securities</w:t>
              </w:r>
            </w:hyperlink>
          </w:p>
        </w:tc>
        <w:tc>
          <w:tcPr>
            <w:tcW w:w="124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800" w:type="dxa"/>
            <w:vAlign w:val="bottom"/>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3"/>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00" w:type="dxa"/>
            <w:vAlign w:val="bottom"/>
            <w:gridSpan w:val="17"/>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60" w:type="dxa"/>
            <w:vAlign w:val="bottom"/>
            <w:gridSpan w:val="6"/>
          </w:tcPr>
          <w:p>
            <w:pPr>
              <w:spacing w:after="0"/>
              <w:rPr>
                <w:sz w:val="21"/>
                <w:szCs w:val="21"/>
                <w:color w:val="auto"/>
              </w:rPr>
            </w:pPr>
          </w:p>
        </w:tc>
        <w:tc>
          <w:tcPr>
            <w:tcW w:w="2400" w:type="dxa"/>
            <w:vAlign w:val="bottom"/>
            <w:gridSpan w:val="3"/>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4560" w:type="dxa"/>
            <w:vAlign w:val="bottom"/>
            <w:gridSpan w:val="9"/>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6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60" w:type="dxa"/>
            <w:vAlign w:val="bottom"/>
            <w:gridSpan w:val="23"/>
          </w:tcPr>
          <w:p>
            <w:pPr>
              <w:spacing w:after="0"/>
              <w:rPr>
                <w:sz w:val="20"/>
                <w:szCs w:val="20"/>
                <w:color w:val="auto"/>
              </w:rPr>
            </w:pPr>
            <w:r>
              <w:rPr>
                <w:rFonts w:ascii="Arial" w:cs="Arial" w:eastAsia="Arial" w:hAnsi="Arial"/>
                <w:sz w:val="18"/>
                <w:szCs w:val="18"/>
                <w:color w:val="0000EE"/>
              </w:rPr>
              <w:t>Controls and Procedures</w:t>
            </w:r>
          </w:p>
        </w:tc>
        <w:tc>
          <w:tcPr>
            <w:tcW w:w="2400" w:type="dxa"/>
            <w:vAlign w:val="bottom"/>
            <w:gridSpan w:val="3"/>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5"/>
          </w:tcPr>
          <w:p>
            <w:pPr>
              <w:spacing w:after="0"/>
              <w:rPr>
                <w:sz w:val="20"/>
                <w:szCs w:val="20"/>
                <w:color w:val="auto"/>
              </w:rPr>
            </w:pPr>
            <w:r>
              <w:rPr>
                <w:rFonts w:ascii="Arial" w:cs="Arial" w:eastAsia="Arial" w:hAnsi="Arial"/>
                <w:sz w:val="18"/>
                <w:szCs w:val="18"/>
                <w:color w:val="0000EE"/>
              </w:rPr>
              <w:t>Other Information</w:t>
            </w:r>
          </w:p>
        </w:tc>
        <w:tc>
          <w:tcPr>
            <w:tcW w:w="7160" w:type="dxa"/>
            <w:vAlign w:val="bottom"/>
            <w:gridSpan w:val="21"/>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gridSpan w:val="12"/>
          </w:tcPr>
          <w:p>
            <w:pPr>
              <w:jc w:val="center"/>
              <w:ind w:right="4120"/>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PART III</w:t>
              </w:r>
            </w:hyperlink>
          </w:p>
        </w:tc>
        <w:tc>
          <w:tcPr>
            <w:tcW w:w="124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4"/>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Directors, Executive Officers and Corporate Governance</w:t>
              </w:r>
            </w:hyperlink>
          </w:p>
        </w:tc>
        <w:tc>
          <w:tcPr>
            <w:tcW w:w="640" w:type="dxa"/>
            <w:vAlign w:val="bottom"/>
            <w:gridSpan w:val="6"/>
          </w:tcPr>
          <w:p>
            <w:pPr>
              <w:spacing w:after="0"/>
              <w:rPr>
                <w:sz w:val="21"/>
                <w:szCs w:val="21"/>
                <w:color w:val="auto"/>
              </w:rPr>
            </w:pPr>
          </w:p>
        </w:tc>
        <w:tc>
          <w:tcPr>
            <w:tcW w:w="4120" w:type="dxa"/>
            <w:vAlign w:val="bottom"/>
            <w:gridSpan w:val="6"/>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Executive Compensation</w:t>
              </w:r>
            </w:hyperlink>
          </w:p>
        </w:tc>
        <w:tc>
          <w:tcPr>
            <w:tcW w:w="2280" w:type="dxa"/>
            <w:vAlign w:val="bottom"/>
            <w:gridSpan w:val="7"/>
          </w:tcPr>
          <w:p>
            <w:pPr>
              <w:spacing w:after="0"/>
              <w:rPr>
                <w:sz w:val="21"/>
                <w:szCs w:val="21"/>
                <w:color w:val="auto"/>
              </w:rPr>
            </w:pPr>
          </w:p>
        </w:tc>
        <w:tc>
          <w:tcPr>
            <w:tcW w:w="4780" w:type="dxa"/>
            <w:vAlign w:val="bottom"/>
            <w:gridSpan w:val="13"/>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6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2860" w:type="dxa"/>
            <w:vAlign w:val="bottom"/>
            <w:gridSpan w:val="10"/>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Principal Accountant Fees and Services</w:t>
              </w:r>
            </w:hyperlink>
          </w:p>
        </w:tc>
        <w:tc>
          <w:tcPr>
            <w:tcW w:w="2580" w:type="dxa"/>
            <w:vAlign w:val="bottom"/>
            <w:gridSpan w:val="12"/>
          </w:tcPr>
          <w:p>
            <w:pPr>
              <w:spacing w:after="0"/>
              <w:rPr>
                <w:sz w:val="21"/>
                <w:szCs w:val="21"/>
                <w:color w:val="auto"/>
              </w:rPr>
            </w:pPr>
          </w:p>
        </w:tc>
        <w:tc>
          <w:tcPr>
            <w:tcW w:w="3420" w:type="dxa"/>
            <w:vAlign w:val="bottom"/>
            <w:gridSpan w:val="4"/>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Borders>
              <w:bottom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54"/>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gridSpan w:val="8"/>
          </w:tcPr>
          <w:p>
            <w:pPr>
              <w:jc w:val="cente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PART IV</w:t>
              </w:r>
            </w:hyperlink>
          </w:p>
        </w:tc>
        <w:tc>
          <w:tcPr>
            <w:tcW w:w="4100" w:type="dxa"/>
            <w:vAlign w:val="bottom"/>
            <w:gridSpan w:val="5"/>
          </w:tcPr>
          <w:p>
            <w:pPr>
              <w:spacing w:after="0"/>
              <w:rPr>
                <w:sz w:val="24"/>
                <w:szCs w:val="24"/>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860" w:type="dxa"/>
            <w:vAlign w:val="bottom"/>
            <w:gridSpan w:val="10"/>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Exhibits, Financial Statement Schedules</w:t>
              </w:r>
            </w:hyperlink>
          </w:p>
        </w:tc>
        <w:tc>
          <w:tcPr>
            <w:tcW w:w="1220" w:type="dxa"/>
            <w:vAlign w:val="bottom"/>
            <w:gridSpan w:val="3"/>
          </w:tcPr>
          <w:p>
            <w:pPr>
              <w:spacing w:after="0"/>
              <w:rPr>
                <w:sz w:val="21"/>
                <w:szCs w:val="21"/>
                <w:color w:val="auto"/>
              </w:rPr>
            </w:pPr>
          </w:p>
        </w:tc>
        <w:tc>
          <w:tcPr>
            <w:tcW w:w="680" w:type="dxa"/>
            <w:vAlign w:val="bottom"/>
            <w:gridSpan w:val="8"/>
          </w:tcPr>
          <w:p>
            <w:pPr>
              <w:spacing w:after="0"/>
              <w:rPr>
                <w:sz w:val="21"/>
                <w:szCs w:val="21"/>
                <w:color w:val="auto"/>
              </w:rPr>
            </w:pPr>
          </w:p>
        </w:tc>
        <w:tc>
          <w:tcPr>
            <w:tcW w:w="4100" w:type="dxa"/>
            <w:vAlign w:val="bottom"/>
            <w:gridSpan w:val="5"/>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00" w:type="dxa"/>
            <w:vAlign w:val="bottom"/>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SIGNATURES</w:t>
              </w:r>
            </w:hyperlink>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gridSpan w:val="4"/>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1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108" w:right="259" w:bottom="1440" w:gutter="0" w:footer="0" w:header="0"/>
        </w:sectPr>
      </w:pPr>
    </w:p>
    <w:bookmarkStart w:id="2" w:name="page3"/>
    <w:bookmarkEnd w:id="2"/>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 Rowe Price Group is a financial services holding company that provides global investment management services through its subsidiaries to individual and institutional investors in the sponsored T. Rowe Price mutual funds distributed in the United States and other investment portfolios, including separately managed accounts, subadvised funds, and other sponsored investment portfolios, including collective investment trusts, target-date retirement trusts, Luxembourg-based funds offered to investors outside the United States, and portfolios offered through variable annuity life insurance plans in the U.S.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Inc. was first offered to the public in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 Rowe Price Group corporate holding company structure was established in 2000.</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derive the vast majority of our consolidated net revenue and net income from investment advisory services provided by our subsidiaries, primarily T. Rowe Price Associates and T. Rowe Price International Ltd. Our revenues depend largely on the total value and composition of assets under our management. Accordingly, fluctuations in financial markets and in the composition of assets under management impact our revenues and results of operations. At December 31, 2013, we had $692.4 billion in assets under management, including $435.3 billion in the T. Rowe Price U.S. mutual funds and $257.1 billion in other investment portfolios.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globally. As of December 31, 2013, nearly forty-four percent of our assets under management are sourced from our third-party financial intermediary distribution channel with the remaining three distribution channels equally comprising the balance. We service clients in 39 countries around the world.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assets we manage are a broad range of U.S. and international stock, blended asset, bond, and money market mutual funds and other investment portfolios that are designed to meet the varied and changing needs and objectives of individual and institutional investors. Investors select from among the mutual funds based on the distinct objective that is described in each fund’s prospectus and can exchange balances among the funds as permitted when economic and market conditions and their investment needs change. Investment management of other client portfolios includes approaches similar to those employed in the Price funds.</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Investment objectives for our managed investment portfolios, including the Price funds, accommodate a variety of strategies. Equity investment strategies may emphasize large-cap, mid-cap or small-cap investing; growth, value or core investing; and U.S., global, multi-regional and regional international, emerging market, and sector investing. We offer systematic, tax-efficient, blended equity, and asset allocation investment strategies, including target-date retirement investment portfolios. Our fixed income strategies may focus on high yield, U.S. taxable bond, taxable low-duration, international, and municipal tax-free investing. Our specialized advisory services include management of stable value investment contracts and a distribution management service for the disposition of equity securities our clients receive from third-party venture capital investment pools.</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U.S. and England with additional staff based in Australia, Hong Kong, Japan, and Singapore.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6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for investors over a long period. Conversely, we may also limit new investments into a mutual fund or investment mandates in order to maintain the integrity of the investment strategy and 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1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560" w:type="dxa"/>
            <w:vAlign w:val="bottom"/>
            <w:gridSpan w:val="2"/>
          </w:tcPr>
          <w:p>
            <w:pPr>
              <w:spacing w:after="0"/>
              <w:rPr>
                <w:rFonts w:ascii="Arial" w:cs="Arial" w:eastAsia="Arial" w:hAnsi="Arial"/>
                <w:sz w:val="18"/>
                <w:szCs w:val="18"/>
                <w:color w:val="0000CC"/>
              </w:rPr>
            </w:pPr>
            <w:hyperlink w:anchor="page1">
              <w:r>
                <w:rPr>
                  <w:rFonts w:ascii="Arial" w:cs="Arial" w:eastAsia="Arial" w:hAnsi="Arial"/>
                  <w:sz w:val="18"/>
                  <w:szCs w:val="18"/>
                  <w:color w:val="0000CC"/>
                </w:rPr>
                <w:t>Table of Contents</w:t>
              </w:r>
            </w:hyperlink>
          </w:p>
        </w:tc>
        <w:tc>
          <w:tcPr>
            <w:tcW w:w="1540" w:type="dxa"/>
            <w:vAlign w:val="bottom"/>
          </w:tcPr>
          <w:p>
            <w:pPr>
              <w:spacing w:after="0"/>
              <w:rPr>
                <w:sz w:val="17"/>
                <w:szCs w:val="17"/>
                <w:color w:val="auto"/>
              </w:rPr>
            </w:pPr>
          </w:p>
        </w:tc>
      </w:tr>
      <w:tr>
        <w:trPr>
          <w:trHeight w:val="20"/>
        </w:trPr>
        <w:tc>
          <w:tcPr>
            <w:tcW w:w="3240" w:type="dxa"/>
            <w:vAlign w:val="bottom"/>
            <w:gridSpan w:val="2"/>
          </w:tcPr>
          <w:p>
            <w:pPr>
              <w:spacing w:after="0" w:line="20" w:lineRule="exact"/>
              <w:rPr>
                <w:sz w:val="1"/>
                <w:szCs w:val="1"/>
                <w:color w:val="auto"/>
              </w:rPr>
            </w:pPr>
          </w:p>
        </w:tc>
        <w:tc>
          <w:tcPr>
            <w:tcW w:w="1280" w:type="dxa"/>
            <w:vAlign w:val="bottom"/>
            <w:shd w:val="clear" w:color="auto" w:fill="0000CC"/>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80"/>
        </w:trPr>
        <w:tc>
          <w:tcPr>
            <w:tcW w:w="9800" w:type="dxa"/>
            <w:vAlign w:val="bottom"/>
            <w:gridSpan w:val="4"/>
          </w:tcPr>
          <w:p>
            <w:pPr>
              <w:spacing w:after="0"/>
              <w:rPr>
                <w:sz w:val="20"/>
                <w:szCs w:val="20"/>
                <w:color w:val="auto"/>
              </w:rPr>
            </w:pPr>
            <w:r>
              <w:rPr>
                <w:rFonts w:ascii="Arial" w:cs="Arial" w:eastAsia="Arial" w:hAnsi="Arial"/>
                <w:sz w:val="18"/>
                <w:szCs w:val="18"/>
                <w:color w:val="auto"/>
                <w:w w:val="91"/>
              </w:rPr>
              <w:t>protect the interests of its existing fund shareholders and investors. At present, the following mutual funds are closed to new investors.</w:t>
            </w:r>
          </w:p>
        </w:tc>
        <w:tc>
          <w:tcPr>
            <w:tcW w:w="1540" w:type="dxa"/>
            <w:vAlign w:val="bottom"/>
          </w:tcPr>
          <w:p>
            <w:pPr>
              <w:spacing w:after="0"/>
              <w:rPr>
                <w:sz w:val="24"/>
                <w:szCs w:val="24"/>
                <w:color w:val="auto"/>
              </w:rPr>
            </w:pPr>
          </w:p>
        </w:tc>
      </w:tr>
      <w:tr>
        <w:trPr>
          <w:trHeight w:val="135"/>
        </w:trPr>
        <w:tc>
          <w:tcPr>
            <w:tcW w:w="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275"/>
        </w:trPr>
        <w:tc>
          <w:tcPr>
            <w:tcW w:w="80" w:type="dxa"/>
            <w:vAlign w:val="bottom"/>
          </w:tcPr>
          <w:p>
            <w:pPr>
              <w:spacing w:after="0"/>
              <w:rPr>
                <w:sz w:val="23"/>
                <w:szCs w:val="23"/>
                <w:color w:val="auto"/>
              </w:rPr>
            </w:pPr>
          </w:p>
        </w:tc>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Date Closed</w:t>
            </w:r>
          </w:p>
        </w:tc>
      </w:tr>
      <w:tr>
        <w:trPr>
          <w:trHeight w:val="237"/>
        </w:trPr>
        <w:tc>
          <w:tcPr>
            <w:tcW w:w="80" w:type="dxa"/>
            <w:vAlign w:val="bottom"/>
          </w:tcPr>
          <w:p>
            <w:pPr>
              <w:spacing w:after="0"/>
              <w:rPr>
                <w:sz w:val="20"/>
                <w:szCs w:val="20"/>
                <w:color w:val="auto"/>
              </w:rPr>
            </w:pPr>
          </w:p>
        </w:tc>
        <w:tc>
          <w:tcPr>
            <w:tcW w:w="97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Institutional Mid-Cap Equity Growth Fund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8, 2003</w:t>
            </w:r>
          </w:p>
        </w:tc>
      </w:tr>
      <w:tr>
        <w:trPr>
          <w:trHeight w:val="27"/>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Mid-Cap Growth Fund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31, 2010</w:t>
            </w:r>
          </w:p>
        </w:tc>
      </w:tr>
      <w:tr>
        <w:trPr>
          <w:trHeight w:val="243"/>
        </w:trPr>
        <w:tc>
          <w:tcPr>
            <w:tcW w:w="80" w:type="dxa"/>
            <w:vAlign w:val="bottom"/>
          </w:tcPr>
          <w:p>
            <w:pPr>
              <w:spacing w:after="0"/>
              <w:rPr>
                <w:sz w:val="21"/>
                <w:szCs w:val="21"/>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Mid-Cap Value Fund</w:t>
            </w:r>
          </w:p>
        </w:tc>
        <w:tc>
          <w:tcPr>
            <w:tcW w:w="1540" w:type="dxa"/>
            <w:vAlign w:val="bottom"/>
          </w:tcPr>
          <w:p>
            <w:pPr>
              <w:jc w:val="right"/>
              <w:spacing w:after="0"/>
              <w:rPr>
                <w:sz w:val="20"/>
                <w:szCs w:val="20"/>
                <w:color w:val="auto"/>
              </w:rPr>
            </w:pPr>
            <w:r>
              <w:rPr>
                <w:rFonts w:ascii="Arial" w:cs="Arial" w:eastAsia="Arial" w:hAnsi="Arial"/>
                <w:sz w:val="18"/>
                <w:szCs w:val="18"/>
                <w:color w:val="auto"/>
              </w:rPr>
              <w:t>May 31, 2010</w:t>
            </w:r>
          </w:p>
        </w:tc>
      </w:tr>
      <w:tr>
        <w:trPr>
          <w:trHeight w:val="27"/>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Yield Fund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27, 2012</w:t>
            </w:r>
          </w:p>
        </w:tc>
      </w:tr>
      <w:tr>
        <w:trPr>
          <w:trHeight w:val="243"/>
        </w:trPr>
        <w:tc>
          <w:tcPr>
            <w:tcW w:w="80" w:type="dxa"/>
            <w:vAlign w:val="bottom"/>
          </w:tcPr>
          <w:p>
            <w:pPr>
              <w:spacing w:after="0"/>
              <w:rPr>
                <w:sz w:val="21"/>
                <w:szCs w:val="21"/>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Institutional High Yield Fund</w:t>
            </w:r>
          </w:p>
        </w:tc>
        <w:tc>
          <w:tcPr>
            <w:tcW w:w="1540" w:type="dxa"/>
            <w:vAlign w:val="bottom"/>
          </w:tcPr>
          <w:p>
            <w:pPr>
              <w:jc w:val="right"/>
              <w:spacing w:after="0"/>
              <w:rPr>
                <w:sz w:val="20"/>
                <w:szCs w:val="20"/>
                <w:color w:val="auto"/>
              </w:rPr>
            </w:pPr>
            <w:r>
              <w:rPr>
                <w:rFonts w:ascii="Arial" w:cs="Arial" w:eastAsia="Arial" w:hAnsi="Arial"/>
                <w:sz w:val="18"/>
                <w:szCs w:val="18"/>
                <w:color w:val="auto"/>
              </w:rPr>
              <w:t>April 27, 2012</w:t>
            </w:r>
          </w:p>
        </w:tc>
      </w:tr>
      <w:tr>
        <w:trPr>
          <w:trHeight w:val="27"/>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Institutional Small-Cap Stock Fund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December 31, 2013</w:t>
            </w:r>
          </w:p>
        </w:tc>
      </w:tr>
      <w:tr>
        <w:trPr>
          <w:trHeight w:val="243"/>
        </w:trPr>
        <w:tc>
          <w:tcPr>
            <w:tcW w:w="80" w:type="dxa"/>
            <w:vAlign w:val="bottom"/>
          </w:tcPr>
          <w:p>
            <w:pPr>
              <w:spacing w:after="0"/>
              <w:rPr>
                <w:sz w:val="21"/>
                <w:szCs w:val="21"/>
                <w:color w:val="auto"/>
              </w:rPr>
            </w:pPr>
          </w:p>
        </w:tc>
        <w:tc>
          <w:tcPr>
            <w:tcW w:w="9720" w:type="dxa"/>
            <w:vAlign w:val="bottom"/>
            <w:gridSpan w:val="3"/>
          </w:tcPr>
          <w:p>
            <w:pPr>
              <w:ind w:left="40"/>
              <w:spacing w:after="0"/>
              <w:rPr>
                <w:sz w:val="20"/>
                <w:szCs w:val="20"/>
                <w:color w:val="auto"/>
              </w:rPr>
            </w:pPr>
            <w:r>
              <w:rPr>
                <w:rFonts w:ascii="Arial" w:cs="Arial" w:eastAsia="Arial" w:hAnsi="Arial"/>
                <w:sz w:val="18"/>
                <w:szCs w:val="18"/>
                <w:color w:val="auto"/>
              </w:rPr>
              <w:t>New Horizons Fund</w:t>
            </w:r>
          </w:p>
        </w:tc>
        <w:tc>
          <w:tcPr>
            <w:tcW w:w="1540" w:type="dxa"/>
            <w:vAlign w:val="bottom"/>
          </w:tcPr>
          <w:p>
            <w:pPr>
              <w:jc w:val="right"/>
              <w:spacing w:after="0"/>
              <w:rPr>
                <w:sz w:val="20"/>
                <w:szCs w:val="20"/>
                <w:color w:val="auto"/>
              </w:rPr>
            </w:pPr>
            <w:r>
              <w:rPr>
                <w:rFonts w:ascii="Arial" w:cs="Arial" w:eastAsia="Arial" w:hAnsi="Arial"/>
                <w:sz w:val="18"/>
                <w:szCs w:val="18"/>
                <w:color w:val="auto"/>
                <w:w w:val="94"/>
              </w:rPr>
              <w:t>December 31, 2013</w:t>
            </w:r>
          </w:p>
        </w:tc>
      </w:tr>
      <w:tr>
        <w:trPr>
          <w:trHeight w:val="27"/>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9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Small-Cap Stock Fund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2013</w:t>
            </w:r>
          </w:p>
        </w:tc>
      </w:tr>
      <w:tr>
        <w:trPr>
          <w:trHeight w:val="27"/>
        </w:trPr>
        <w:tc>
          <w:tcPr>
            <w:tcW w:w="8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Substantially all of our administrative and distribution and servicing fee revenues in 2013 were determined based generally on the recovery of our related costs to provide these services. Therefore, changes in our administrative revenues, distribution and servicing fees, and related expenses generally do not significantly affect our net operating income or net income.</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offered federally insured certificates of deposit to our clients through our savings bank subsidiary, T. Rowe Price Savings Bank, which was sold on December 5, 2013. Additional information concerning the sale of our savings bank subsidiary is contained in Note 4 of our consolidated financial statements which are included in Item 8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2013 DEVELOPMENTS.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U.S. stocks produced excellent returns in 2013, including the S&amp;P 500 Stock Index which was up 32.4% and the NASDAQ Composite Index, which is heavily weighted in technology companies, which returned 38.3%. Equities in developed non-U.S. markets underperformed U.S. shares in 2013 but still produced very good returns while emerging markets equities fell slightly. Global bonds produced mostly negative returns in 2013 as interest rates rose during the year.</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2013 results include net revenues of nearly $3.5 billion, net income of $1.05 billion, and diluted earnings per share of $3.90, an increase of 16.1% from the $3.36 per share earned in 2012. Assets under management ended 2013 at a record $692.4 billion, an increase of $115.6 billion from the end of 2012. Market appreciation drove this increase as $127.6 billion in market gains and income, net of distributions not reinvested, were reduced by net cash outflows of $12.0 billion in the year. Net cash inflows of $10.2 billion into the Price funds were more than offset by net cash outflows of $22.2 billion from our other investment portfolios. The vast majority of these net outflows from our other investment portfolios were concentrated among several large institutional clients outside the U.S. and intermediary clients that changed their investment objectives, repositioned their strategy allocations, or experienced investment performance challenges within their portfolio. A large portion of the outflows were from one international institutional client.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108"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gridSpan w:val="2"/>
          </w:tcPr>
          <w:p>
            <w:pPr>
              <w:spacing w:after="0"/>
              <w:rPr>
                <w:rFonts w:ascii="Arial" w:cs="Arial" w:eastAsia="Arial" w:hAnsi="Arial"/>
                <w:sz w:val="18"/>
                <w:szCs w:val="18"/>
                <w:color w:val="0000CC"/>
              </w:rPr>
            </w:pPr>
            <w:hyperlink w:anchor="page1">
              <w:r>
                <w:rPr>
                  <w:rFonts w:ascii="Arial" w:cs="Arial" w:eastAsia="Arial" w:hAnsi="Arial"/>
                  <w:sz w:val="18"/>
                  <w:szCs w:val="18"/>
                  <w:color w:val="0000CC"/>
                </w:rPr>
                <w:t>Table of Contents</w:t>
              </w:r>
            </w:hyperlink>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CC"/>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940" w:type="dxa"/>
            <w:vAlign w:val="bottom"/>
            <w:gridSpan w:val="6"/>
          </w:tcPr>
          <w:p>
            <w:pPr>
              <w:spacing w:after="0"/>
              <w:rPr>
                <w:sz w:val="20"/>
                <w:szCs w:val="20"/>
                <w:color w:val="auto"/>
              </w:rPr>
            </w:pPr>
            <w:r>
              <w:rPr>
                <w:rFonts w:ascii="Arial" w:cs="Arial" w:eastAsia="Arial" w:hAnsi="Arial"/>
                <w:sz w:val="18"/>
                <w:szCs w:val="18"/>
                <w:color w:val="auto"/>
              </w:rPr>
              <w:t>Our assets under management (in billions) at December 31, 2013, categorized by mandate and account type are as follows: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94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mandate</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U.S. stocks and blended asset</w:t>
            </w:r>
          </w:p>
        </w:tc>
        <w:tc>
          <w:tcPr>
            <w:tcW w:w="7140" w:type="dxa"/>
            <w:vAlign w:val="bottom"/>
            <w:tcBorders>
              <w:top w:val="single" w:sz="8" w:color="CCEEFF"/>
            </w:tcBorders>
            <w:gridSpan w:val="4"/>
          </w:tcPr>
          <w:p>
            <w:pPr>
              <w:spacing w:after="0"/>
              <w:rPr>
                <w:sz w:val="21"/>
                <w:szCs w:val="21"/>
                <w:color w:val="auto"/>
              </w:rPr>
            </w:pPr>
          </w:p>
        </w:tc>
        <w:tc>
          <w:tcPr>
            <w:tcW w:w="54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International stocks and blended asset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900" w:type="dxa"/>
            <w:vAlign w:val="bottom"/>
            <w:gridSpan w:val="5"/>
          </w:tcPr>
          <w:p>
            <w:pPr>
              <w:ind w:left="140"/>
              <w:spacing w:after="0"/>
              <w:rPr>
                <w:sz w:val="20"/>
                <w:szCs w:val="20"/>
                <w:color w:val="auto"/>
              </w:rPr>
            </w:pPr>
            <w:r>
              <w:rPr>
                <w:rFonts w:ascii="Arial" w:cs="Arial" w:eastAsia="Arial" w:hAnsi="Arial"/>
                <w:sz w:val="18"/>
                <w:szCs w:val="18"/>
                <w:color w:val="auto"/>
              </w:rPr>
              <w:t>Total stock and blended asset portfolios</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900" w:type="dxa"/>
            <w:vAlign w:val="bottom"/>
            <w:gridSpan w:val="5"/>
          </w:tcPr>
          <w:p>
            <w:pPr>
              <w:ind w:left="140"/>
              <w:spacing w:after="0"/>
              <w:rPr>
                <w:sz w:val="20"/>
                <w:szCs w:val="20"/>
                <w:color w:val="auto"/>
              </w:rPr>
            </w:pPr>
            <w:r>
              <w:rPr>
                <w:rFonts w:ascii="Arial" w:cs="Arial" w:eastAsia="Arial" w:hAnsi="Arial"/>
                <w:sz w:val="18"/>
                <w:szCs w:val="18"/>
                <w:color w:val="auto"/>
              </w:rPr>
              <w:t>U.S. fixed income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International fixed income</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900" w:type="dxa"/>
            <w:vAlign w:val="bottom"/>
            <w:gridSpan w:val="5"/>
          </w:tcPr>
          <w:p>
            <w:pPr>
              <w:ind w:left="140"/>
              <w:spacing w:after="0"/>
              <w:rPr>
                <w:sz w:val="20"/>
                <w:szCs w:val="20"/>
                <w:color w:val="auto"/>
              </w:rPr>
            </w:pPr>
            <w:r>
              <w:rPr>
                <w:rFonts w:ascii="Arial" w:cs="Arial" w:eastAsia="Arial" w:hAnsi="Arial"/>
                <w:sz w:val="18"/>
                <w:szCs w:val="18"/>
                <w:color w:val="auto"/>
              </w:rPr>
              <w:t>Total fixed income portfolios</w:t>
            </w: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gridSpan w:val="6"/>
            <w:vMerge w:val="restart"/>
          </w:tcPr>
          <w:p>
            <w:pPr>
              <w:ind w:left="40"/>
              <w:spacing w:after="0"/>
              <w:rPr>
                <w:sz w:val="20"/>
                <w:szCs w:val="20"/>
                <w:color w:val="auto"/>
              </w:rPr>
            </w:pPr>
            <w:r>
              <w:rPr>
                <w:rFonts w:ascii="Arial" w:cs="Arial" w:eastAsia="Arial" w:hAnsi="Arial"/>
                <w:sz w:val="18"/>
                <w:szCs w:val="18"/>
                <w:color w:val="auto"/>
              </w:rPr>
              <w:t>Assets under management by account type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4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7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Retirement accounts and variable annuity portfolios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900" w:type="dxa"/>
            <w:vAlign w:val="bottom"/>
            <w:gridSpan w:val="5"/>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Non-U.S. dollar denominated securities held in client accounts are $96.3 billion, or 13.9% of our total assets under management at December 31,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Investors domiciled outside the U.S. represent 6.5% of total assets under management at the end of 2013.</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target-date retirement portfolios, which provide shareholders with single, diversified portfolios that invest in underlying Price funds and other investment portfolios, continue to be a significant source of our asset growth. In 2013, $11.5 billion of our net cash flows originated in these portfolios. Assets under management in these portfolios were $121.2 billion at December 31, 2013, including $105.1 billion in target-date retirement funds and $16.1 billion in target-date retirement trusts. These target-date retirement portfolios account for 17.5% of our managed assets at December 31, 2013, compared with 15.4% at the end of 2012.</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Six Price funds - Growth Stock, Equity Income, Mid-Cap Growth, Blue-Chip Growth, Value, Capital Appreciation - accounted for 25% of our investment advisory revenues in 2013, and 22% of our assets under management at December 31, 2013. Our largest client account relationship apart from the Price funds is with a third-party financial intermediary that accounted for about 3% of our investment advisory revenues in 2013.</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Strong investment performance and brand awareness is a key driver to attracting assets and to our long-term success. As of the end of 2013, 76% of the T. Rowe Price U.S. mutual funds across their share classes outperformed their comparable Lipper averages on a total return basis for the three-year period, 77% outperformed for the five-year period, 82% outperformed for the 10-year period, and 71% outperformed for the one-year period. In addition, T. Rowe Price stock, bond and blended asset funds that were given an overall rating of four or five stars from Morningstar at December 31, 2013, account for 78% of our rated funds' assets under management. The performance of our institutional strategies against their benchmarks was substantially similar. Our target-date retirement funds continue to deliver very attractive long-term performance, with 100% of these funds outperforming their comparable Lipper averages on a total return basis for the three- and five-year periods ended December 31, 2013.</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At December 31, 2013, we remain debt-free with substantial liquidity and resources, including cash and fund investment holdings of $3.0 billion. We presently plan to declare and pay quarterly cash dividends in 2014 that, taken together, will exceed the $1.52 per share in annual regular dividends declared and paid in 2013; however, there can be no assurance that we will continue to pay dividends at increasing rates or at all. Our total capital expenditures for property and equipment in 2014 are expected to be approximately $145 million. We generally repurchase shares of our common stock over time to offset the dilution created by our equity-based compensation plans. Our substantial liquidity and resources also allow us to take advantage of attractive growth opportunities; invest in key capabilities, including investment professionals, technologies, and new investment strategy offerings; and, most importantly, provide our clients with strong investment management expertise and service both now and in the future. In the coming years, we expect to increase funding for long-term initiatives to sustain and deepen our investment talent, expand capabilities through enhanced technology, and broaden our distribution reach globally, including Italy and Germany.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08" w:right="239" w:bottom="1440" w:gutter="0" w:footer="0" w:header="0"/>
        </w:sectPr>
      </w:pPr>
    </w:p>
    <w:bookmarkStart w:id="5" w:name="page6"/>
    <w:bookmarkEnd w:id="5"/>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Additional information concerning our revenues, results of operations and total assets, and our assets under management during the past three years is contained in the Management’s Discussion and Analysis of Financial Condition and Results of Operations in Item 7 of this Form 10-K as well as our consolidated financial statements, which are included in Item 8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Advisory Services.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Investment advisory revenues earned from the Price funds are determined daily based on the net assets managed in each fund. The advisory fee paid monthly by each of the Price funds is computed on a daily basis by multiplying a fund’s net assets by its effective fee rate. Details of each fund’s fee arrangement are available in its prospectus.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majority of the Price funds, the fee rate is equal to the sum of a tiered group fee rate plus an individual fund rate. The tiered group rate is based on the combined net assets of nearly all of the Price funds. When combined net assets of these Price funds exceeds $400 billion, the weighted-average fee across pricing tiers is 29.5 basis points for the first $400 billion of net assets plus 27.5 basis points for net assets in excess of $400 billion. To the extent that the combined net assets of the funds included in the group rate calculation increase, the group charge component of a fund's advisory fee rate and the resulting advisory fee rate paid by each fund will decrease.</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effective fee rates for those stock and bond funds we earned advisory fees of at least $6.0 million from in 2013 varied from a low of 40 basis points for the Maryland Tax-Free Bond, Tax-Free Short-Intermediate, and Short-Term Bond funds to a high of 105 basis points for the Emerging Markets Stock, International Discovery, and Latin America funds.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fee rate of several of the Price funds, including the Index and Summit funds as well as specific funds offered solely to institutional investors, do not include a group fee component but rather an individual fund fee or an all-inclusive fee. An all-inclusive fee covered both the investment management fee and ordinary operating expenses incurred by the fund. Each of the funds in the series of Spectrum Funds, and in the series of target-date retirement funds that we offer invest in a diversified portfolio of other Price funds and have no separate investment advisory fee; however, they indirectly bear the expenses of the funds in which they invest.</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continued to voluntarily waive a portion of the advisory fees in 2013 of all of our money market funds and trusts in order to maintain a positive yield for fund investors. Advisory fees waived in 2013 totaled $51.2 million, or about 2% of total investment advisory revenues earned in 2013, compared to $35.0 million in 2012. We expect that these fee waivers will continue in 2014.</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these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 but such recovery is not assured.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25" w:right="239" w:bottom="1440" w:gutter="0" w:footer="0" w:header="0"/>
        </w:sectPr>
      </w:pPr>
    </w:p>
    <w:bookmarkStart w:id="6" w:name="page7"/>
    <w:bookmarkEnd w:id="6"/>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At December 31, 2013, assets under our management in the Price funds aggregated $435.3 billion, an increase of 25.5% or $88.4 billion from the beginning of the year. The following table presents the net assets (in billions) and the year of formation of our largest Price funds (net assets in excess of $1.0 billion at December 31, 2013) at December 31.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Stock and blended asset funds: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Balanced (1991)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Blue Chip Growth (1993)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Appreciation (1986)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Dividend Growth (1992)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Emerging Markets Stock (1995)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Income (1985)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Index 500 (1990)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European Stock (1990)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Growth &amp; Income (1982)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Growth Stock (1950)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Health Sciences (1995)</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Emerging Markets Equity (2002)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Large-Cap Growth (2001)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Large-Cap Value (2000)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Mid-Cap Equity Growth (1996)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Small-Cap Stock (2000)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Discovery (1988)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International Growth &amp; Income (1998)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Stock (1980)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Latin America (1993)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Media &amp; Telecommunications (1993)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Mid-Cap Growth (1992)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Mid-Cap Value (1996)</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America Growth (1985)</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Asia (1990)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New Era (1969)</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New Horizons (1960)</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Overseas Stock (2006)</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Personal Strategy Balanced (1994)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Personal Strategy Growth (1994)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Personal Strategy Income (1994)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Assets (2010)</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(1997)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Science &amp; Technology (1987)</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Small-Cap Stock (1992)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Small-Cap Value (1988)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Value (1994)</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stock and blended asset funds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341.7</w:t>
            </w:r>
          </w:p>
        </w:tc>
      </w:tr>
      <w:tr>
        <w:trPr>
          <w:trHeight w:val="20"/>
        </w:trPr>
        <w:tc>
          <w:tcPr>
            <w:tcW w:w="8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6</w:t>
      </w:r>
    </w:p>
    <w:p>
      <w:pPr>
        <w:sectPr>
          <w:pgSz w:w="11900" w:h="16838" w:orient="portrait"/>
          <w:cols w:equalWidth="0" w:num="1">
            <w:col w:w="11420"/>
          </w:cols>
          <w:pgMar w:left="240" w:top="125" w:right="239" w:bottom="1440" w:gutter="0" w:footer="0" w:header="0"/>
          <w:type w:val="continuous"/>
        </w:sectPr>
      </w:pPr>
    </w:p>
    <w:bookmarkStart w:id="7" w:name="page8"/>
    <w:bookmarkEnd w:id="7"/>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Bond and money market funds: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Emerging Markets Bond (1994)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GNMA (1985)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High Yield (1984)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Inflation Focused Bond (2006)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Institutional Floating Rate (2008)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Institutional High Yield (2002)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Bond (1986)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Maryland Tax-Free Bond (1987)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Income (1973)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Prime Reserve (1976)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Bond (1984)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Summit Cash Reserves (1993)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Summit Municipal Intermediate (1993)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Tax-Free High Yield (1985)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Tax-Free Income (1976)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Tax-Free Short-Intermediate (1983)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Money (1982)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bond and money market funds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Spectrum Funds, Target Retirement Funds, and Retirement Date Funds are not presented in the table above because their assets are already included in their underlying fund holdings.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subsidiaries invest in many of the T. Rowe Price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subsidiaries provide advisory-related administrative services to the Price funds and their shareholders. T. Rowe Price Services provides mutual fund transfer agency and shareholder services, including maintenance of staff, facilities,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both the Price funds and funds outside the Price fund complex. Plan sponsors and participants compensate us for some of the administrative services while the Price funds compensate us for maintaining and administering the individual participant accounts for those plans that invest in the Price funds.</w:t>
      </w:r>
    </w:p>
    <w:p>
      <w:pPr>
        <w:spacing w:after="0" w:line="16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provide trustee services through our subsidiary, T. Rowe Price Trust Company, a Maryland-chartered limited service trust company. Through this entity, we offer collective investment trusts for investment by qualified retirement plans and serve as trustee for employer sponsored retirement plans and other retirement products. T. Rowe Price Trust Company may not accept deposits and cannot make personal or commercial loans.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125" w:right="239" w:bottom="1440" w:gutter="0" w:footer="0" w:header="0"/>
        </w:sectPr>
      </w:pPr>
    </w:p>
    <w:bookmarkStart w:id="8" w:name="page9"/>
    <w:bookmarkEnd w:id="8"/>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U.S. on a no-load basis, without a sales commission or 12b-1 fee. No-load mutual fund shares offer investors a low-cost and relatively easy method of directly investing in a variety of stock and fixed income portfolios.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of the Price funds also offer Advisor and R classes of shares that are distributed to mutual fund shareholders, and defined contribution retirement plans, respectively, through third-party financial intermediaries. These share classes pay 12b-1 fees of 25 and 50 basis points, respectively, for distribution, administration, and personal services. In addition, those Price funds offered to investors through variable annuity life insurance plans have a share class that pays a 12b-1 fee of 25 basis points. Our subsidiary, T. Rowe Price Investment Services, is the principal distributor of the Price funds and enters into a tri-party agreement with each intermediary and fund. Under the agreement, each fund is responsible to pay the distribution and service fees directly to the applicable intermediaries.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statements of income. We also recognize, as distribution and servicing costs in the consolidated statements of income, the corresponding cost paid to the third-party financial intermediaries who distribute these fund share classes. The fee revenue that we recognize from the funds and the expense that we recognize for the fees paid to third-party intermediaries are equal in amount and, therefore, do not impact our net operating income.</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the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print media, television, and the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enhancements to our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other client investment portfolios had assets under management of $257.1 billion at December 31, 2013, an increase of $27.2 billion from the beginning of the year. We provide investment advisory services to these clients through our subsidiaries on a separately managed or subadvised account basis and through sponsored investment portfolios, including collective investment trusts, target-date retirement trusts, Luxembourg-based funds offered to investors outside the U.S. and portfolios offered through variable annuity life insurance plans in the U.S. At December 31, these portfolios included the following investment mandates: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equities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Stable value assets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 and money market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37"/>
        </w:trPr>
        <w:tc>
          <w:tcPr>
            <w:tcW w:w="834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229.9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at a contracted annual fee rate. The value of assets under management billed is generally based on daily valuations, month-end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25" w:right="239" w:bottom="1440" w:gutter="0" w:footer="0" w:header="0"/>
        </w:sectPr>
      </w:pPr>
    </w:p>
    <w:bookmarkStart w:id="9" w:name="page10"/>
    <w:bookmarkEnd w:id="9"/>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average valuations, or end of billing period valuations. In 2013, approximately 65% of advisory fees were recognized based on daily portfolio valuations, 16% were based on month-end averages, and 18% were based on end of billing period valuations.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subsidiary, T. Rowe Price International provides sales, distribution and market services to our Luxembourg-based T. Rowe Price Funds SICAV, a self-managed Société d'Investissement à Capital Variable. The funds underlying this entity are distributed outside the U.S. by T. Rowe Price International and through distribution agents and other financial intermediaries. The fees earned for these distribution and marketing services are part of the overall investment management fee T. Rowe Price International earns for managing the SICAV fund assets. We recognize any related distribution fees paid to financial intermediaries in other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T. Rowe Price International, T. Rowe Price (Canada), T. Rowe Price Hong Kong Limited,</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 Rowe Price Singapore Private Ltd. and T. Rowe Price Advisory Services are registered with the Securities and Exchange Commission (SEC) as investment advisers under the Investment Advisers Act of 1940. T. Rowe Price International is also regulated by the Financial Conduct Authority (FCA) in the United Kingdom and, in certain cases, by other foreign regulators.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(Fonds Commun de Placement) funds is regulated by the Commission de Surveillance du Secteur Financier (CSSF).</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subsidiaries providing transfer agent services are registered under the Securities Exchange Act of 1934, and our trust company is regulated by the State of Maryland, Commissioner of Financial Regulation.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introducing brokerage services through this subsidiary primarily to complement the other services provided to shareholders of the Price funds. Pershing, a third-party clearing broker and affiliate of the Bank of New York, maintains our brokerage’s customer accounts and clears all transactions.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December 5, 2013, T. Rowe Price Associates completed its previously announced sale of 100% of the stock of T. Rowe Price Savings Bank to a non-affiliated third party; the new owner thereupon changed the name and headquarters location of the bank. Due to the sale of the stock, T. Rowe Price Associates and T. Rowe Price Group no longer meet the definition of a “savings and loan holding company,” as defined in the Home Owners' Loan Act, and we have requested confirmation from the Federal Reserve Bank of Richmond that the companies have been de-registered as such.</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subsidiaries’ net capital, as defined, meets or exceeds all minimum requirements.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25" w:right="239" w:bottom="1440" w:gutter="0" w:footer="0" w:header="0"/>
        </w:sectPr>
      </w:pPr>
    </w:p>
    <w:bookmarkStart w:id="10" w:name="page11"/>
    <w:bookmarkEnd w:id="10"/>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acquisition and venture opportunities and, if appropriate, engage in discussions and negotiations that could lead to the acquisition of a new equity or other financial relationship.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2013, we employed 5,668 associates, up 5.5% from the 5,372 associates employed at the end of 2012. We may add additional temporary and part-time personnel to our staff from time to time to meet periodic and special project demands, primarily for technology and mutual fund administrative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Internet address is www.troweprice.com. At our Investor Relations website, http://trow.client.shareholder.com, we make available free of charge a variety of information for investors. Our goal is to maintain our websites as a portal through which investors can easily find or navigate to pertinent information about us and as a channel of distribution for material company information, including but not limited to:</w:t>
      </w:r>
    </w:p>
    <w:p>
      <w:pPr>
        <w:spacing w:after="0" w:line="181" w:lineRule="exact"/>
        <w:rPr>
          <w:sz w:val="20"/>
          <w:szCs w:val="20"/>
          <w:color w:val="auto"/>
        </w:rPr>
      </w:pPr>
    </w:p>
    <w:p>
      <w:pPr>
        <w:ind w:left="500" w:right="60" w:hanging="330"/>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filed or furnished pursuant to Section 13(a) of the Exchange Act as soon as reasonably practicable after we electronically file that material with, or furnish them to the SEC;</w:t>
      </w:r>
    </w:p>
    <w:p>
      <w:pPr>
        <w:spacing w:after="0" w:line="181" w:lineRule="exact"/>
        <w:rPr>
          <w:rFonts w:ascii="Arial" w:cs="Arial" w:eastAsia="Arial" w:hAnsi="Arial"/>
          <w:sz w:val="18"/>
          <w:szCs w:val="18"/>
          <w:color w:val="auto"/>
        </w:rPr>
      </w:pPr>
    </w:p>
    <w:p>
      <w:pPr>
        <w:ind w:left="500" w:right="46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0" w:lineRule="exact"/>
        <w:rPr>
          <w:rFonts w:ascii="Arial" w:cs="Arial" w:eastAsia="Arial" w:hAnsi="Arial"/>
          <w:sz w:val="18"/>
          <w:szCs w:val="18"/>
          <w:color w:val="auto"/>
        </w:rPr>
      </w:pPr>
    </w:p>
    <w:p>
      <w:pPr>
        <w:ind w:left="500" w:right="44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corporate governance information including our charter, bylaws, governance guidelines, committee charters, code of ethics and conduct and other governance-related policies;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found on our website is not part of this or any other report we file with, or furnish to,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derive our revenues primarily from investment advisory services provided by our subsidiaries to individual and institutional investors in the T. Rowe Price mutual funds distributed in the U.S.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funds and portfolios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179" w:lineRule="exact"/>
        <w:rPr>
          <w:sz w:val="20"/>
          <w:szCs w:val="20"/>
          <w:color w:val="auto"/>
        </w:rPr>
      </w:pPr>
    </w:p>
    <w:p>
      <w:pPr>
        <w:ind w:left="5420" w:right="1040" w:hanging="5290"/>
        <w:spacing w:after="0" w:line="810" w:lineRule="auto"/>
        <w:tabs>
          <w:tab w:leader="none" w:pos="44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on very short notice and without any significant penalty. Page 10</w:t>
      </w:r>
    </w:p>
    <w:p>
      <w:pPr>
        <w:sectPr>
          <w:pgSz w:w="11900" w:h="16838" w:orient="portrait"/>
          <w:cols w:equalWidth="0" w:num="1">
            <w:col w:w="11420"/>
          </w:cols>
          <w:pgMar w:left="240" w:top="125" w:right="239" w:bottom="1440" w:gutter="0" w:footer="0" w:header="0"/>
        </w:sectPr>
      </w:pPr>
    </w:p>
    <w:bookmarkStart w:id="11" w:name="page12"/>
    <w:bookmarkEnd w:id="11"/>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360" w:lineRule="exact"/>
        <w:rPr>
          <w:sz w:val="20"/>
          <w:szCs w:val="20"/>
          <w:color w:val="auto"/>
        </w:rPr>
      </w:pPr>
    </w:p>
    <w:p>
      <w:pPr>
        <w:ind w:left="460" w:right="12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28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78" w:lineRule="exact"/>
        <w:rPr>
          <w:rFonts w:ascii="Arial" w:cs="Arial" w:eastAsia="Arial" w:hAnsi="Arial"/>
          <w:sz w:val="18"/>
          <w:szCs w:val="18"/>
          <w:color w:val="auto"/>
        </w:rPr>
      </w:pPr>
    </w:p>
    <w:p>
      <w:pPr>
        <w:ind w:left="460" w:right="10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retirement savings trends, including the prevalence of defined contribution retirement plans, may reduce interest in our funds and portfolios and may alter our mix of assets under management.</w:t>
      </w:r>
    </w:p>
    <w:p>
      <w:pPr>
        <w:spacing w:after="0" w:line="62" w:lineRule="exact"/>
        <w:rPr>
          <w:rFonts w:ascii="Arial" w:cs="Arial" w:eastAsia="Arial" w:hAnsi="Arial"/>
          <w:sz w:val="18"/>
          <w:szCs w:val="18"/>
          <w:color w:val="auto"/>
        </w:rPr>
      </w:pPr>
    </w:p>
    <w:p>
      <w:pPr>
        <w:ind w:left="460" w:right="300" w:hanging="330"/>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62" w:lineRule="exact"/>
        <w:rPr>
          <w:rFonts w:ascii="Arial" w:cs="Arial" w:eastAsia="Arial" w:hAnsi="Arial"/>
          <w:sz w:val="18"/>
          <w:szCs w:val="18"/>
          <w:color w:val="auto"/>
        </w:rPr>
      </w:pPr>
    </w:p>
    <w:p>
      <w:pPr>
        <w:ind w:left="460" w:right="6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Exposure. Our managed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78" w:lineRule="exact"/>
        <w:rPr>
          <w:rFonts w:ascii="Arial" w:cs="Arial" w:eastAsia="Arial" w:hAnsi="Arial"/>
          <w:sz w:val="18"/>
          <w:szCs w:val="18"/>
          <w:color w:val="auto"/>
        </w:rPr>
      </w:pPr>
    </w:p>
    <w:p>
      <w:pPr>
        <w:ind w:left="460" w:right="360" w:hanging="330"/>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performance of our money market funds is impacted by the historically low interest rate environment.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money market funds' performance or yield is dependent on the income earned from the underlying securities exceeding the operating costs of the fund. When interest rates are at or near the historic lows that have recently existed, the operating costs of the funds will become a greater portion of the portfolio's income, thereby reducing the yield of the funds to very low levels. Since the second half of 2009 and presently, such an environment has led us to voluntarily waive a portion of our advisory fee earned on our money market funds in order to maintain yields at or above 0% for fund investors. Such actions reduce our advisory fee income and net income. The actual amount of fees waived is dependent on a number of variables including, among others, changes in the net assets held by our money market funds, changes in market yields, changes in the expense levels of the funds, and our willingness to voluntarily continue such fee waivers. Also, bank deposits may become more attractive to investors and money market funds could experience significant redemptions, which could decrease our revenues and net income. For further discussion of the fees we waived in the current period, management's expectation as to future fee waivers, and the net cash flows of our money market funds, please see our Management Discussion and Analysis of Financial Condition and Results of Operations in Item 7 of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60-days notice. If a Price fund seeks to lower the fees that we receive or terminate its contract with us, we would experience a decline in fees earned from the Price funds, which could have a material adverse effect on our revenues and net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60"/>
          </w:cols>
          <w:pgMar w:left="240" w:top="125" w:right="299" w:bottom="1440" w:gutter="0" w:footer="0" w:header="0"/>
        </w:sectPr>
      </w:pPr>
    </w:p>
    <w:bookmarkStart w:id="12" w:name="page13"/>
    <w:bookmarkEnd w:id="12"/>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225" w:lineRule="exact"/>
        <w:rPr>
          <w:sz w:val="20"/>
          <w:szCs w:val="20"/>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mutual fund companies,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hedge funds,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traded funds,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brokerage and investment banking firms,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Most of our investment portfolios are available without sales or redemption fees, which means that investors may be more willing to transfer assets to competing funds.</w:t>
      </w:r>
    </w:p>
    <w:p>
      <w:pPr>
        <w:spacing w:after="0" w:line="178"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If current or potential customers decide to use one of our competitors, we could face a significant decline in market share, assets under management, revenues, and net income. In the event that we were to decide to reduce the fees we charge for investment advisory services in response to competitive pressures, revenues and operating margins could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2013, we had an increase in the normally very low turnover of our investment professionals. Our success depends on our highly skilled personnel, including our portfolio and fund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effect on our reputation and subject us to regulatory sanctions, fines, penalties, litigation, and a decrease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225" w:lineRule="exact"/>
        <w:rPr>
          <w:sz w:val="20"/>
          <w:szCs w:val="20"/>
          <w:color w:val="auto"/>
        </w:rPr>
      </w:pPr>
    </w:p>
    <w:p>
      <w:pPr>
        <w:ind w:left="460" w:right="480" w:hanging="330"/>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color w:val="auto"/>
        </w:rPr>
      </w:pPr>
    </w:p>
    <w:p>
      <w:pPr>
        <w:ind w:left="460" w:right="440" w:hanging="330"/>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properly perform transfer agent and participant recordkeeping responsibilities, including transaction processing, supervision of staff, tax reporting and record retention; and failure to identify excessive trading in mutual funds by our customers or plan participants;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125" w:right="259" w:bottom="1440" w:gutter="0" w:footer="0" w:header="0"/>
        </w:sectPr>
      </w:pPr>
    </w:p>
    <w:bookmarkStart w:id="13" w:name="page14"/>
    <w:bookmarkEnd w:id="13"/>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360" w:lineRule="exact"/>
        <w:rPr>
          <w:sz w:val="20"/>
          <w:szCs w:val="20"/>
          <w:color w:val="auto"/>
        </w:rPr>
      </w:pPr>
    </w:p>
    <w:p>
      <w:pPr>
        <w:jc w:val="both"/>
        <w:ind w:left="460" w:right="60" w:hanging="330"/>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 and</w:t>
      </w:r>
    </w:p>
    <w:p>
      <w:pPr>
        <w:spacing w:after="0" w:line="73" w:lineRule="exact"/>
        <w:rPr>
          <w:rFonts w:ascii="Arial" w:cs="Arial" w:eastAsia="Arial" w:hAnsi="Arial"/>
          <w:sz w:val="18"/>
          <w:szCs w:val="18"/>
          <w:color w:val="auto"/>
        </w:rPr>
      </w:pPr>
    </w:p>
    <w:p>
      <w:pPr>
        <w:ind w:left="460" w:right="60" w:hanging="330"/>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third-party vendors who now or in the future may perform or support important parts of our operations as there can be no assurance that they will perform properly or that our processes and plans to transition or delegate these functions to others will be successful or that there will not be interruptions in services from these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225" w:lineRule="exact"/>
        <w:rPr>
          <w:sz w:val="20"/>
          <w:szCs w:val="20"/>
          <w:color w:val="auto"/>
        </w:rPr>
      </w:pPr>
    </w:p>
    <w:p>
      <w:pPr>
        <w:ind w:left="460" w:right="40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advertising expenses, including the costs of expanding investment advisory services to investors outside of the U.S. and further penetrating U.S. distribution channels;</w:t>
      </w:r>
    </w:p>
    <w:p>
      <w:pPr>
        <w:spacing w:after="0" w:line="62" w:lineRule="exact"/>
        <w:rPr>
          <w:rFonts w:ascii="Arial" w:cs="Arial" w:eastAsia="Arial" w:hAnsi="Arial"/>
          <w:sz w:val="18"/>
          <w:szCs w:val="18"/>
          <w:color w:val="auto"/>
        </w:rPr>
      </w:pPr>
    </w:p>
    <w:p>
      <w:pPr>
        <w:ind w:left="460" w:right="60" w:hanging="330"/>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15" w:lineRule="exact"/>
        <w:rPr>
          <w:rFonts w:ascii="Arial" w:cs="Arial" w:eastAsia="Arial" w:hAnsi="Arial"/>
          <w:sz w:val="16"/>
          <w:szCs w:val="16"/>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investments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right="64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23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 While we are under no obligation to provide financial support to any of our sponsored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in the U.S. and abroad and such relationships may not be available or profitable to us in the future.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contracted third-party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125" w:right="239" w:bottom="1440" w:gutter="0" w:footer="0" w:header="0"/>
        </w:sectPr>
      </w:pPr>
    </w:p>
    <w:bookmarkStart w:id="14" w:name="page15"/>
    <w:bookmarkEnd w:id="14"/>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management changes could also adversely impact our relationships with these third-party intermediaries. The presence of any of the adverse conditions discussed above would reduce revenues and net income, possibly by material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Armed conflict, terrorist attacks, cyber-attacks, power failures, and natural disasters could adversely affect our revenues, expenses and net income by:</w:t>
      </w:r>
    </w:p>
    <w:p>
      <w:pPr>
        <w:spacing w:after="0" w:line="237"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associates,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interrupting our business operations,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portion of our business operations are concentrated in the Baltimore, Maryland region and in London, England. 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currently have a substantial portion of our assets invested in sponsored stock, blended asset and bond funds. All of these investments are subject to investment market risk and our non-operating investment income could be adversely affected by the realization of losses upon the disposition of our investments or the recognition of significant other-than-temporary impairments in the case of our available-for-sale portfolio and the recognition of unrealized losses related to our sponsored investment portfolios that are held as trading and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review and pursue acquisition and venture opportunities in order to maintain or enhance our competitive position.</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81" w:lineRule="exact"/>
        <w:rPr>
          <w:sz w:val="20"/>
          <w:szCs w:val="20"/>
          <w:color w:val="auto"/>
        </w:rPr>
      </w:pPr>
    </w:p>
    <w:p>
      <w:pPr>
        <w:jc w:val="right"/>
        <w:ind w:left="5420" w:right="5420" w:hanging="5290"/>
        <w:spacing w:after="0" w:line="1020" w:lineRule="auto"/>
        <w:tabs>
          <w:tab w:leader="none" w:pos="447" w:val="left"/>
        </w:tabs>
        <w:numPr>
          <w:ilvl w:val="0"/>
          <w:numId w:val="9"/>
        </w:numPr>
        <w:rPr>
          <w:rFonts w:ascii="Arial" w:cs="Arial" w:eastAsia="Arial" w:hAnsi="Arial"/>
          <w:sz w:val="15"/>
          <w:szCs w:val="15"/>
          <w:color w:val="auto"/>
        </w:rPr>
      </w:pPr>
      <w:r>
        <w:rPr>
          <w:rFonts w:ascii="Arial" w:cs="Arial" w:eastAsia="Arial" w:hAnsi="Arial"/>
          <w:sz w:val="15"/>
          <w:szCs w:val="15"/>
          <w:color w:val="auto"/>
        </w:rPr>
        <w:t>difficulty in managing, operating and marketing our international operations; Page 14</w:t>
      </w:r>
    </w:p>
    <w:p>
      <w:pPr>
        <w:sectPr>
          <w:pgSz w:w="11900" w:h="16838" w:orient="portrait"/>
          <w:cols w:equalWidth="0" w:num="1">
            <w:col w:w="11420"/>
          </w:cols>
          <w:pgMar w:left="240" w:top="125" w:right="239" w:bottom="1440" w:gutter="0" w:footer="0" w:header="0"/>
        </w:sectPr>
      </w:pPr>
    </w:p>
    <w:bookmarkStart w:id="15" w:name="page16"/>
    <w:bookmarkEnd w:id="15"/>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360" w:lineRule="exact"/>
        <w:rPr>
          <w:sz w:val="20"/>
          <w:szCs w:val="20"/>
          <w:color w:val="auto"/>
        </w:rPr>
      </w:pPr>
    </w:p>
    <w:p>
      <w:pPr>
        <w:ind w:left="460" w:right="60" w:hanging="330"/>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 or impact our expenses and profitability. Additionally, some regulations may not directly apply to our business but may impact the capital markets, service providers or have another indirect effect on our ability to provide services to our clients.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11" w:lineRule="exact"/>
        <w:rPr>
          <w:sz w:val="20"/>
          <w:szCs w:val="20"/>
          <w:color w:val="auto"/>
        </w:rPr>
      </w:pPr>
    </w:p>
    <w:p>
      <w:pPr>
        <w:ind w:left="500" w:right="500" w:hanging="330"/>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Volcker Rule will not directly impact T. Rowe Price Group; however, there remains the risk that the rule could impact the liquidity in capital markets, which may make it more difficult or costly to execute certain security transactions on behalf of our clients.</w:t>
      </w:r>
    </w:p>
    <w:p>
      <w:pPr>
        <w:spacing w:after="0" w:line="146" w:lineRule="exact"/>
        <w:rPr>
          <w:rFonts w:ascii="Arial" w:cs="Arial" w:eastAsia="Arial" w:hAnsi="Arial"/>
          <w:sz w:val="17"/>
          <w:szCs w:val="17"/>
          <w:color w:val="auto"/>
        </w:rPr>
      </w:pPr>
    </w:p>
    <w:p>
      <w:pPr>
        <w:ind w:left="500" w:right="60" w:hanging="330"/>
        <w:spacing w:after="0" w:line="25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part of the debate in Washington, D.C. related to the economy and the U.S. deficit, there has been increasing focus on the framework of the U.S. retirement system. We could incur increased costs if new regulatory requirements are adopted since retirement plans are a significant part of our client base and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93" w:lineRule="exact"/>
        <w:rPr>
          <w:rFonts w:ascii="Arial" w:cs="Arial" w:eastAsia="Arial" w:hAnsi="Arial"/>
          <w:sz w:val="18"/>
          <w:szCs w:val="18"/>
          <w:color w:val="auto"/>
        </w:rPr>
      </w:pPr>
    </w:p>
    <w:p>
      <w:pPr>
        <w:ind w:left="500" w:hanging="330"/>
        <w:spacing w:after="0" w:line="297"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If, however, any T. Rowe Price fund or T. Rowe Price affiliate is deemed a SIFI, increased regulatory oversight would apply, which may include enhanced capital, liquidity, leverage, stress testing, resolution planning, and risk management requirements.</w:t>
      </w:r>
    </w:p>
    <w:p>
      <w:pPr>
        <w:spacing w:after="0" w:line="158" w:lineRule="exact"/>
        <w:rPr>
          <w:rFonts w:ascii="Arial" w:cs="Arial" w:eastAsia="Arial" w:hAnsi="Arial"/>
          <w:sz w:val="16"/>
          <w:szCs w:val="16"/>
          <w:color w:val="auto"/>
        </w:rPr>
      </w:pPr>
    </w:p>
    <w:p>
      <w:pPr>
        <w:ind w:left="500" w:right="20" w:hanging="330"/>
        <w:spacing w:after="0" w:line="25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Securities and Exchange Commission (the “SEC”) has proposed additional reforms to money market fund regulation. The proposal includes two basic alternatives that could be adopted alone or in combination. The first proposed alternative would require institutional non-government money market funds to operate with a floating net asset value (“NAV”) and the second proposed alternative would require non-government money market funds to impose liquidity fees and redemption gates under certain conditions. Regardless of whether either or both of these alternatives are adopted, the SEC proposal would institute other reforms for money market funds, including additional disclosure and reporting requirements, tightening of diversification requirements, and enhanced stress testing. Adoption of any such reforms could have a negative impact on the attractiveness of such funds to investors, or the willingness of the firm to sponsor such products. It would also subject us to additional regulatory requirements and costs to comply with any such requirements.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25" w:right="239" w:bottom="1440" w:gutter="0" w:footer="0" w:header="0"/>
        </w:sectPr>
      </w:pPr>
    </w:p>
    <w:bookmarkStart w:id="16" w:name="page17"/>
    <w:bookmarkEnd w:id="16"/>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left="500" w:hanging="330"/>
        <w:spacing w:after="0" w:line="312"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Commodity Futures Trading Commission has adopted certain amendments to its rules that would limit the ability of mutual funds and certain other products we sponsor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146" w:lineRule="exact"/>
        <w:rPr>
          <w:rFonts w:ascii="Arial" w:cs="Arial" w:eastAsia="Arial" w:hAnsi="Arial"/>
          <w:sz w:val="16"/>
          <w:szCs w:val="16"/>
          <w:color w:val="auto"/>
        </w:rPr>
      </w:pPr>
    </w:p>
    <w:p>
      <w:pPr>
        <w:ind w:left="500" w:right="320" w:hanging="330"/>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rFonts w:ascii="Arial" w:cs="Arial" w:eastAsia="Arial" w:hAnsi="Arial"/>
          <w:sz w:val="18"/>
          <w:szCs w:val="18"/>
          <w:color w:val="auto"/>
        </w:rPr>
      </w:pPr>
    </w:p>
    <w:p>
      <w:pPr>
        <w:ind w:left="500" w:right="240" w:hanging="33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regulations on OTC derivatives are evolving, including proposed rules under The Dodd-Frank Wall Street Reform and Consumer Protection Act and European Market Infrastructure Regulation relating to central clearing counterparties, trade reporting and repositories. There remains uncertainty related to the requirements under these new regulations and the exact manner in which they will impact current trading strategies for our clients.</w:t>
      </w:r>
    </w:p>
    <w:p>
      <w:pPr>
        <w:spacing w:after="0" w:line="186" w:lineRule="exact"/>
        <w:rPr>
          <w:rFonts w:ascii="Arial" w:cs="Arial" w:eastAsia="Arial" w:hAnsi="Arial"/>
          <w:sz w:val="18"/>
          <w:szCs w:val="18"/>
          <w:color w:val="auto"/>
        </w:rPr>
      </w:pPr>
    </w:p>
    <w:p>
      <w:pPr>
        <w:ind w:left="500" w:right="80" w:hanging="33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subject to various laws and regulations in the jurisdictions where we operate outside the U.S., including pan-European Directives, such as the Alternative Investment Fund Management Directive (“AIFMD”). The AIFMD has come into effect but interpretations of certain provisions are not yet final. It is expected that the AIFMD may impact remuneration policies, capital requirements, and the manner in which affiliated entities provide services to funds covered by the AIFMD.</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of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even maintain their operations if we were unable to make additional investments in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25" w:right="239" w:bottom="1440" w:gutter="0" w:footer="0" w:header="0"/>
        </w:sectPr>
      </w:pPr>
    </w:p>
    <w:bookmarkStart w:id="17" w:name="page18"/>
    <w:bookmarkEnd w:id="17"/>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360" w:lineRule="exact"/>
        <w:rPr>
          <w:sz w:val="20"/>
          <w:szCs w:val="20"/>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cyber-attacks such as hacking or viruses, natural disasters, power failures, acts of war or terrorism, sabotage, and other causes. Some of our software is licensed from and supported by outside vendors upon whom we rely to prevent operating system failure. A suspension or termination of these licenses or the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or our third-party service providers’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158"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corporate headquarters occupies 422,000 square feet of space at 100 East Pratt Street in Baltimore, Maryland. In January 2014, we renewed and extended this lease through 2027. During 2013, we closed our office in Argentina and now have offices in 12 countries around the world, including the U.S.</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operating and servicing activities are largely conducted at owned facilities in campus settings comprising 290,000 square feet in Colorado Springs, Colorado and 1.2 million square feet on three parcels of land in close proximity to Baltimore in Owings Mills, Maryland, including 405,100 square feet of space in two new facilities that we placed into service in the fourth quarter of 2013. We maintain a 59,940 square foot technology support facility in Hagerstown, Maryland and own a 72-acre parcel of land in Pasco County, Florida to accommodate potential future development as business demands require.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125" w:right="259" w:bottom="1440" w:gutter="0" w:footer="0" w:header="0"/>
        </w:sectPr>
      </w:pPr>
    </w:p>
    <w:bookmarkStart w:id="18" w:name="page19"/>
    <w:bookmarkEnd w:id="18"/>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closed nine of the 15 investor centers we maintained for walk-in traffic and investor meetings in May 2013. The cost to terminate these leased facilities was $3.5 million, which was recognized in the second quarter of 2013. We presently maintain the remaining six investor centers, four of which are in leased facilities located in Baltimore, Maryland, Tampa, Florida, Washington, D.C, and McLean, VA. The remaining two investor centers are located in our owned facilities in Colorado Springs and Owings Mills.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lease all our offices outside the U.S., including London and Hong Kong, as well as our business operations recovery site in Maryland and our customer service call center in Tampa.</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Information concerning our anticipated capital expenditures in 2014 and our future minimum rental payments under noncancelable operating leases at December 31, 2013,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seven individuals are members of our management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(60), Chief Executive Officer and President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(58), Chairman since 2007, Chief Investment Officer since 2004, and a Vice President since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(57), Vice Chairman since 2007, and a Vice President since 1989.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(53), Head of Equity since 2010, and a Vice President since 1990.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(51), Head of International Equity since 2009 and a Vice President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C. Gitlin (43), Head of Fixed Income since 2010, and a Vice President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D. Linehan (49), Head of U.S. Equity since 2010,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W. Strickland, Jr. (52), Head of Services and Technology since 2012,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(57), Chief Financial Officer and a Vice President since 2004, and Treasurer since 2010.</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Jessica M. Hiebler (38), Principal Accounting Officer since 2010 and a Vice President since 2009. Ms. Hiebler has been a Vice President of T. Rowe Price Associates since she joined the firm in 2005.</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80"/>
          </w:cols>
          <w:pgMar w:left="240" w:top="125" w:right="379" w:bottom="1440" w:gutter="0" w:footer="0" w:header="0"/>
        </w:sectPr>
      </w:pPr>
    </w:p>
    <w:bookmarkStart w:id="19" w:name="page20"/>
    <w:bookmarkEnd w:id="19"/>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1st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2nd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4th</w:t>
            </w:r>
          </w:p>
        </w:tc>
      </w:tr>
      <w:tr>
        <w:trPr>
          <w:trHeight w:val="257"/>
        </w:trPr>
        <w:tc>
          <w:tcPr>
            <w:tcW w:w="6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Quarter</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Quarter</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2012 – High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66.95</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62.35</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6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2013 – High price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83.99</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70.96</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cash dividends declared during the fourth quarter of 2012 includes a special dividend of $1.00 per share that was paid on December 28, 2012. We presently plan to declare and pay quarterly cash dividends in 2014 that, taken together, will exceed the $1.52 per share in annual regular dividends declared and paid in 2013. Our annual regular dividends per share have increased every year since we became a public company in 1986; however, there can be no assurance that we will continue to pay dividends at increasing rates or at all.</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common stockholders have approved all of our equity-based compensation plans. These plans provide for the issuance of up to 51,303,413 shares of our common stock at December 31, 2013, including 31,574,958 shares that may be issued upon the exercise of outstanding stock options at a weighted-average price of $52.18, and 859,063 shares that may be issued upon settlement of our outstanding stock units. Additionally, 18,869,392 shares remain available for future issuances, including 3,412,508 shares that may be issued under our Employee Stock Purchase Plan. No shares have been issued under our Employee Stock Purchase Plan since its inception; all shares have been purchased in the open market. Under the terms of the 2012 Long-Term Incentive Plan, approved by stockholders in April 2012, the number of shares provided and available for future issuance will increase as we repurchase common stock in the future with the proceeds from stock option exercises.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2"/>
              </w:rPr>
              <w:t>Total Number of</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4"/>
              </w:rPr>
              <w:t>Shares Purchased as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Total Number of</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Average Price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3"/>
              </w:rPr>
              <w:t>Part of Publicly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57"/>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Month</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Shares Purchased</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6"/>
              </w:rPr>
              <w:t>Paid per Share</w:t>
            </w: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0"/>
              </w:rPr>
              <w:t>Announced Program</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the Program</w:t>
            </w:r>
          </w:p>
        </w:tc>
      </w:tr>
      <w:tr>
        <w:trPr>
          <w:trHeight w:val="23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October</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74,538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75.56</w:t>
            </w:r>
          </w:p>
        </w:tc>
        <w:tc>
          <w:tcPr>
            <w:tcW w:w="12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11,213,467</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253,232</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11,213,467</w:t>
            </w: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189,962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80.61</w:t>
            </w: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11,213,467</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517,732</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79.29</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obligations associated with the vesting of restricted stock awards. Of the shares purchased in the fourth quarter of 2013, 434,851 were related to shares surrendered to the company in connection with employee stock option exercises and 82,881 were related to shares withheld to cover tax withholdings associated with the vesting of restricted stock awards.</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2013, we repurchased 200,000 shares of our common stock pursuant to the Board of Directors’ September 8, 2010 authorization. We have 6,120 stockholders of record and approximately 151,000 beneficial stockholder accounts held by brokers, banks, and other intermediaries holding our common stock. Common stock owned outright by our associates, combined with outstanding vested stock options and unvested restricted stock awards, total nearly 16% of the firm's outstanding shares and outstanding vested stock options at December 31, 2013.</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125" w:right="259" w:bottom="1440" w:gutter="0" w:footer="0" w:header="0"/>
        </w:sectPr>
      </w:pPr>
    </w:p>
    <w:bookmarkStart w:id="20" w:name="page21"/>
    <w:bookmarkEnd w:id="20"/>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2009</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2010</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2012</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(in millions, except per-share data)</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1,637</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Basic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Cash dividends declared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324"/>
        </w:trPr>
        <w:tc>
          <w:tcPr>
            <w:tcW w:w="3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255.9</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4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253.4</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262.3</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265.1</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w:t>
            </w: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266.3</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Cash dividends declared in 2012 includes a special dividend of $1.00 per share that we paid on December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3,210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3,770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4,203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5,033</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2,882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391.3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576.8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692.4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U.S. sponsored mutual funds and other investment portfolios. The other investment portfolios include separately managed accounts, subadvised funds, and other sponsored investment portfolios including collective investment trusts, target-date retirement trusts and Luxembourg-based funds offered to investors outside the U.S. and portfolios offered through variable annuity life insurance plans in the U.S. Investment advisory clients outside the U.S. account for 6.5% of our assets under management at December 31, 2013.</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In the coming years, we expect to increase funding for long-term initiatives to sustain and deepen our investment talent, expand capabilities through enhanced technology, and broaden our distribution reach globally, including Italy and Germany.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125" w:right="239" w:bottom="1440" w:gutter="0" w:footer="0" w:header="0"/>
        </w:sectPr>
      </w:pPr>
    </w:p>
    <w:bookmarkStart w:id="21" w:name="page22"/>
    <w:bookmarkEnd w:id="21"/>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U.S. stocks produced excellent returns in 2013, as the economy and the labor market strengthened—despite federal tax increases and spending cuts that took effect in the first quarter. The Federal Reserve continued their purchase of Treasuries and agency mortgage-backed securities during the year to suppress long-term interest rates. The equity market also overcame a sharp increase in longer-term rates stemming from the concern over the Fed’s plans to curtail its asset purchases, as well as the October U.S. government shutdown and debt ceiling showdown. The mid-December announcement that the Fed would reduce its asset purchases starting in January 2014 did not dismay investors because the central bank pledged to keep short-term interest rates low as long as inflation remains contained. Equities in developed non-U.S. markets underperformed U.S. shares but still produced very good returns. Many parts of the eurozone emerged from recession, while Japan benefited from highly accommodative fiscal and monetary policies and a sharply weaker yen. Emerging markets equities fell slightly amid slowing economic growth in developing countries and fears that smaller Fed asset purchases would lead to reduced global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equity market indexes for the full year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3980" w:type="dxa"/>
            <w:vAlign w:val="bottom"/>
          </w:tcPr>
          <w:p>
            <w:pPr>
              <w:jc w:val="right"/>
              <w:spacing w:after="0"/>
              <w:rPr>
                <w:sz w:val="20"/>
                <w:szCs w:val="20"/>
                <w:color w:val="auto"/>
              </w:rPr>
            </w:pPr>
            <w:r>
              <w:rPr>
                <w:rFonts w:ascii="Arial" w:cs="Arial" w:eastAsia="Arial" w:hAnsi="Arial"/>
                <w:sz w:val="18"/>
                <w:szCs w:val="18"/>
                <w:color w:val="auto"/>
              </w:rPr>
              <w:t>32.4 %</w:t>
            </w:r>
          </w:p>
        </w:tc>
      </w:tr>
      <w:tr>
        <w:trPr>
          <w:trHeight w:val="27"/>
        </w:trPr>
        <w:tc>
          <w:tcPr>
            <w:tcW w:w="744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Composite Index (excluding dividends)</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3980" w:type="dxa"/>
            <w:vAlign w:val="bottom"/>
          </w:tcPr>
          <w:p>
            <w:pPr>
              <w:jc w:val="right"/>
              <w:spacing w:after="0"/>
              <w:rPr>
                <w:sz w:val="20"/>
                <w:szCs w:val="20"/>
                <w:color w:val="auto"/>
              </w:rPr>
            </w:pPr>
            <w:r>
              <w:rPr>
                <w:rFonts w:ascii="Arial" w:cs="Arial" w:eastAsia="Arial" w:hAnsi="Arial"/>
                <w:sz w:val="18"/>
                <w:szCs w:val="18"/>
                <w:color w:val="auto"/>
              </w:rPr>
              <w:t>38.8 %</w:t>
            </w:r>
          </w:p>
        </w:tc>
      </w:tr>
      <w:tr>
        <w:trPr>
          <w:trHeight w:val="27"/>
        </w:trPr>
        <w:tc>
          <w:tcPr>
            <w:tcW w:w="744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MSCI Emerging Markets Index</w:t>
            </w:r>
          </w:p>
        </w:tc>
        <w:tc>
          <w:tcPr>
            <w:tcW w:w="39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Global bonds produced mostly negative returns in 2013. In the U.S., high yield bonds produced solid gains and significantly outperformed investment-grade issues amid favorable corporate fundamentals and strong demand for securities with a yield advantage. Investment-grade bonds declined; intermediate- and long-term Treasuries fared worst as longer-term interest rates rose sharply amid stronger growth and expectations for smaller Fed asset purchases. The 10-year Treasury note yield finished 2013 at 3.0% versus 1.8% at the end of 2012. Government bonds in developed non-U.S. markets produced moderate losses in U.S. dollar terms. Emerging markets debt underperformed because of factors such as currency weakness and fears that the Fed tapering would decrease global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the full year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40"/>
              <w:spacing w:after="0"/>
              <w:rPr>
                <w:sz w:val="20"/>
                <w:szCs w:val="20"/>
                <w:color w:val="auto"/>
              </w:rPr>
            </w:pPr>
            <w:r>
              <w:rPr>
                <w:rFonts w:ascii="Arial" w:cs="Arial" w:eastAsia="Arial" w:hAnsi="Arial"/>
                <w:sz w:val="18"/>
                <w:szCs w:val="18"/>
                <w:color w:val="auto"/>
              </w:rPr>
              <w:t>Barclays U.S. Aggregate Bond Index</w:t>
            </w:r>
          </w:p>
        </w:tc>
        <w:tc>
          <w:tcPr>
            <w:tcW w:w="3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74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Suisse High Yield Index</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Barclays Municipal Bond Index</w:t>
            </w:r>
          </w:p>
        </w:tc>
        <w:tc>
          <w:tcPr>
            <w:tcW w:w="3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4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JPMorgan Emerging Markets Index Plus</w:t>
            </w:r>
          </w:p>
        </w:tc>
        <w:tc>
          <w:tcPr>
            <w:tcW w:w="396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25" w:right="239" w:bottom="1440" w:gutter="0" w:footer="0" w:header="0"/>
        </w:sectPr>
      </w:pPr>
    </w:p>
    <w:bookmarkStart w:id="22" w:name="page23"/>
    <w:bookmarkEnd w:id="22"/>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Reflecting the strong growth in equity markets, our assets under management ended 2013 at a record $692.4 billion, an increase of $115.6 billion from the end of 2012. Market appreciation drove this increase as $127.6 billion in market gains and income, net of distributions not reinvested, were reduced by net cash outflows of $12.0 billion in the 2013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 (in billions) at the end of the year and changes during each of the last three years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364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9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investment objective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9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gridSpan w:val="2"/>
          </w:tcPr>
          <w:p>
            <w:pPr>
              <w:jc w:val="center"/>
              <w:ind w:right="280"/>
              <w:spacing w:after="0"/>
              <w:rPr>
                <w:sz w:val="20"/>
                <w:szCs w:val="20"/>
                <w:color w:val="auto"/>
              </w:rPr>
            </w:pPr>
            <w:r>
              <w:rPr>
                <w:rFonts w:ascii="Arial" w:cs="Arial" w:eastAsia="Arial" w:hAnsi="Arial"/>
                <w:sz w:val="18"/>
                <w:szCs w:val="18"/>
                <w:color w:val="auto"/>
                <w:w w:val="88"/>
              </w:rPr>
              <w:t>December 31,</w:t>
            </w: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Fixed income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Components of changes in assets under management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3180" w:type="dxa"/>
            <w:vAlign w:val="bottom"/>
            <w:tcBorders>
              <w:top w:val="single" w:sz="8" w:color="CCEEFF"/>
            </w:tcBorders>
            <w:gridSpan w:val="6"/>
          </w:tcPr>
          <w:p>
            <w:pPr>
              <w:jc w:val="center"/>
              <w:ind w:left="71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Assets under management at beginning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market gains (losses) and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Distributions not reinvested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Assets under management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40" w:type="dxa"/>
            <w:vAlign w:val="bottom"/>
            <w:gridSpan w:val="4"/>
          </w:tcPr>
          <w:p>
            <w:pPr>
              <w:ind w:left="40"/>
              <w:spacing w:after="0"/>
              <w:rPr>
                <w:sz w:val="20"/>
                <w:szCs w:val="20"/>
                <w:color w:val="auto"/>
              </w:rPr>
            </w:pPr>
            <w:r>
              <w:rPr>
                <w:rFonts w:ascii="Arial" w:cs="Arial" w:eastAsia="Arial" w:hAnsi="Arial"/>
                <w:sz w:val="18"/>
                <w:szCs w:val="18"/>
                <w:color w:val="auto"/>
                <w:w w:val="93"/>
              </w:rPr>
              <w:t>Assets under management transferred from our sponsored U.S. mutual funds to our other</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2"/>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investment portfolios</w:t>
            </w:r>
          </w:p>
        </w:tc>
        <w:tc>
          <w:tcPr>
            <w:tcW w:w="3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net cash flows in 2011 and 2012 and our sponsored U.S. mutual fund cash flows in 2013 were sourced primarily from third-party financial intermediaries. In 2013, a vast majority of the net outflows from our other investment portfolios were concentrated among several large institutional clients outside the U.S. and intermediary clients that changed their investment objectives, repositioned their strategy allocations, or experienced investment performance challenges within their portfolio. The majority of the transfers from our sponsored mutual funds to our other investment portfolios disclosed in the table above in 2012 and 2013 were from our target-date retirement funds to our collective investment trusts and target-date retirement trusts.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target-date retirement funds and trusts, which invest in a broadly diversified portfolio of other T. Rowe Price funds and T. Rowe Price collective investment trusts and automatically rebalance to maintain their specific asset allocation weightings, are a significant source of cash flows. Total net cash flows shown in the table above include $8.0 billion in 2011, $10.1 billion in 2012, and $11.5 billion in 2013 of net cash inflows that originated in these target-date portfolios. Assets under management at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December 31, 2013, in these retirement portfolios totaled $121.2 billion, including $105.1 billion in target-date retirement funds and $16.1 billion in target-date retirement trusts.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Strong investment performance and brand awareness is a key driver to attracting assets and to our long-term success. For 2013, 76% of the T. Rowe Price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 mutual funds across their share classes outperformed their comparable Lipper averages on a total return basis for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77% outperformed for the five-year period, 82% outperformed for the 10-year period, and 71% outperformed for the one-year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 Rowe Price stock, bond and blended asset funds that were given an overall rating of four or five stars from Morningstar at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for 78% of our rated funds' assets under management. The performance of our institutional strategies against their benchmarks was substantially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Our target-date retirement funds continue to deliver very attractive long-term performance, with 100% of these funds outperforming their comparable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Lipper averages on a total return basis for the three- and five-year periods ended December 31, 2013.</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often involve costs that precede any future revenues that we may recognize from an increase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2013 versus </w:t>
      </w:r>
      <w:r>
        <w:rPr>
          <w:rFonts w:ascii="Arial" w:cs="Arial" w:eastAsia="Arial" w:hAnsi="Arial"/>
          <w:sz w:val="18"/>
          <w:szCs w:val="18"/>
          <w:u w:val="single" w:color="auto"/>
          <w:color w:val="auto"/>
          <w:highlight w:val="white"/>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-121920</wp:posOffset>
            </wp:positionV>
            <wp:extent cx="2603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31750</wp:posOffset>
            </wp:positionV>
            <wp:extent cx="2229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Percent Change</w:t>
            </w:r>
          </w:p>
        </w:tc>
      </w:tr>
      <w:tr>
        <w:trPr>
          <w:trHeight w:val="27"/>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3,022.6</w:t>
            </w:r>
          </w:p>
        </w:tc>
        <w:tc>
          <w:tcPr>
            <w:tcW w:w="3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2,592.0</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430.6</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16.6 %</w:t>
            </w: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3,484.2</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3,022.5</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1,846.8</w:t>
            </w:r>
          </w:p>
        </w:tc>
        <w:tc>
          <w:tcPr>
            <w:tcW w:w="3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1,658.2</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1,637.4</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3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324"/>
        </w:trPr>
        <w:tc>
          <w:tcPr>
            <w:tcW w:w="4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7"/>
        </w:trPr>
        <w:tc>
          <w:tcPr>
            <w:tcW w:w="4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Investment advisory fees in 2013 are up over 2012 as average assets under our management increased $84.4 billion to $633.8 billion for the 2013 year. In addition, the average annualized fee rate earned on our assets under management increased to 47.7 basis points during 2013 from the 47.2 basis points earned in 2012, due primarily to asset growth in higher than average fee rate strategies. We voluntarily waived $51.2 million in money market advisory fees in 2013, an increase of $16.2 million from the $35.0 million waived in 2012, in order to maintain a positive yield for fund investors. These fee waivers represent about 2% of total investment advisory revenues earned in 2013. Fees were waived from each of our money market funds and trusts that have combined net assets at December 31, 2013, of $16.3 billion, or 2.4% of our total assets under management. The firm expects that these fee waivers will continue in 2014.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Greater average assets under management and a higher annualized fee rate have increased our investment advisory revenues and helped lift our operating margin in 2013 to 47.0% compared to 45.1% in the 2012 period. Non-operating investment income in 2013 is down compared to 2012, primarily because we sold fewer sponsored fund holdings in 2013 resulting in lower realized gains.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$2.1 billion in 2013, an increase of 18.8%, or $335.8 million, on higher average mutual fund assets. Average mutual fund assets in 2013 were $391.2 billion, an increase of 19.8% from the 2012 average. Mutual fund assets at December 31, 2013, were $435.3 billion, up $88.4 billion from the end of 2012.</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inflows into the mutual funds during 2013 were $10.2 billion, including $5.8 billion into our stock and blended asset funds, $3.5 billion into our bond funds, and $.9 billion into the money market funds. These mutual fund net inflow amounts 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25" w:right="239" w:bottom="1440" w:gutter="0" w:footer="0" w:header="0"/>
        </w:sectPr>
      </w:pPr>
    </w:p>
    <w:bookmarkStart w:id="24" w:name="page25"/>
    <w:bookmarkEnd w:id="24"/>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presented net of $7.7 billion that clients transferred to the other investment portfolios, primarily our collective investment trusts and target-date retirement trusts. Without these transfers, the mutual funds would have had net cash inflows of $17.9 billion in 2013. Market appreciation and income, net of distributions not reinvested, added $78.2 billion to our mutual fund assets under management in 2013.</w:t>
      </w:r>
    </w:p>
    <w:p>
      <w:pPr>
        <w:spacing w:after="0" w:line="12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Investment advisory revenues earned on the other investment portfolios that we manage increased $94.8 million, or 11.8%, to $896.5 million. Average assets in these portfolios were $242.6 billion during 2013, an increase of $19.8 billion, or 8.9%, from the 2012 year. Ending assets at December 31, 2013, were $257.1 billion, an increase of $27.2 billion from the end of 2012. Market appreciation and income of $49.4 billion was reduced by net outflows of $22.2 billion during 2013. Net outflows during 2013 are presented net of the $7.7 billion assets that clients transferred in from the mutual funds. The vast majority of these net outflows were concentrated among several large institutional clients outside the U.S. and intermediary clients that changed their investment objectives, repositioned their strategy allocations, or experienced investment performance challenges within their portfolio.</w:t>
      </w:r>
    </w:p>
    <w:p>
      <w:pPr>
        <w:spacing w:after="0" w:line="16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Administrative fees increased $11.1 million to $343.7 million in 2013. The increase is primarily attributable to our transfer agent servicing activities and defined contribution recordkeeping services for the mutual funds and their investors.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class shares of our sponsored portfolios were $117.2 million in 2013, an increase of $21.1 million from the comparable 2012 period on greater average assets under management in these share classes. The 12b-1 fees earned are offset entirely by the costs paid to third-party intermediaries who source these assets. These costs are reported as distribution and servicing costs on the face of our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Compensation and related costs increased 10.4% from 2012 to about $1.2 billion. A significant part of the increase is attributable to a $45.4 million increase in our annual variable compensation program and a $37.2 million increase in salaries and related benefits. We increased our average staff size by 4.1% over 2012 to support both business growth and added capabilities. Higher temporary staff expenses, non-cash stock-based compensation expense, and other employee costs account for the remainder of the increase in compensation and related costs in the 2013 period. At December 31, 2013, we employed 5,668 associates, an increase of 5.5% from the end of 2012.</w:t>
      </w:r>
    </w:p>
    <w:p>
      <w:pPr>
        <w:spacing w:after="0" w:line="188"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Advertising and promotion expenditures were $88.7 million in 2013 compared to $89.8 million in 2012. The decrease in cost from the 2012 period is primarily attributable to process efficiencies realized through the realignment of certain marketing activities. We currently estimate that advertising and promotion expenditures for 2014 will be down about 5% from 2013 levels as we continue to realize the benefits of these process efficiencies.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Occupancy and facility costs together with depreciation expense increased $20.8 million, or 10.1%, versus 2012. The increase in costs is largely attributable to the expansion of our international facilities, the opening of two new buildings located at our Owings Mills campus, and continued investment in our technology capabilities, including related maintenance programs. The 2013 year also includes a non-recurring charge of $3.5 million related to the termination of certain facility leases.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were $257.6 million in 2013, an increase of $38.5 million from the comparable 2012 period as increased business demands and our continued investment in our capabilities have increased our costs. These costs include consulting and professional fees, costs related to our defined contribution recordkeeping business, information services, and other third-party services. We also made a higher charitable contribution to the T. Rowe Price Foundation in 2013 than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down $7.8 million from the 2012 period. The decrease is due in part to the 2013 results including $13.5 million in gains realized on the sale of certain sponsored fund holdings compared with $35.1 million in gains realized in the comparable 2012 period. This reduction in realized gains was partially offset by $7.9 million in higher dividends received on our sponsored mutual fund holdings and $5.6 million in higher gains recognized on our other investments. The 2013 year also includes a $1.5 million gain recognized on the sale of our savings bank subsidiary.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40"/>
          </w:cols>
          <w:pgMar w:left="240" w:top="125" w:right="319" w:bottom="1440" w:gutter="0" w:footer="0" w:header="0"/>
        </w:sectPr>
      </w:pPr>
    </w:p>
    <w:bookmarkStart w:id="25" w:name="page26"/>
    <w:bookmarkEnd w:id="25"/>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2013 effective tax rate of 38.4% is unchanged from the 2012 rate. The firm currently estimates its effective tax rate for 2014 will be about 38.4%. Our effective income tax rate reflects the relative contribution of pre-tax income generated by our non-U.S. subsidiaries that are subject to tax rates lower than our U.S. rates. Changes in the relative contribution of pre-tax income from U.S. and non-U.S. sources or changes in tax rates in relevant non-U.S. jurisdictions may affect our effective income tax rate and overall net income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 versus 2011.</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Investment advisory revenues were up 10.3%, or $243.0 million, to nearly $2.6 billion in 2012, as average assets under our management increased $52.3 billion to $549.4 billion. The average annualized fee rate earned on our assets under management was 47.2 basis points during 2012, virtually unchanged from the 47.3 basis points earned in 2011. We continued to voluntarily waive a portion of our money market advisory fees in 2012 in order to maintain a positive or zero yield for fund investors. These fees were waived from each of our money market funds and trusts and totaled $35.0 million, or about 1% of total investment advisory revenues earned in 2012, as compared to $36.4 million in 2011. Combined net assets at December 31, 2012 of the funds and trusts in which we waived fees in 2012 was $15.4 billion, or 2.7% of our total assets under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$275.4 million, or 10.0%, to $3.0 billion in 2012. Operating expenses were $1.7 billion in 2012, an increase of $138.0 million, or</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9.1%. Overall, net operating income for 2012 increased $137.4 million, or 11.2%, to nearly $1.4 billion. The increase in our average assets under management and resulting advisory revenue lifted our operating margin for 2012 to 45.1% from 44.7% in 2011. Non-operating investment income of $70.8 million in 2012 included $32.6 million, or $.07 per share after income taxes, in gains realized from the sale of certain of our investments in sponsored funds to seed other sponsored funds in support of our distribution efforts outside the U.S. Net income, including these realized gains, increased $110.4 million, or 14.3%, to $883.6 million in 2012, and our diluted earnings per share on our common stock increased 15.1% to $3.36 from the $2.92 earned in 2011.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$1.8 billion in 2012, an increase of 11.4%, or $182.7 million, on higher average mutual fund assets. Average mutual fund assets in 2012 were $326.6 billion, an increase of 11.8% from the 2011 average. Mutual fund assets at December 31, 2012, were $346.9 billion, up $57.5 billion from the end of 2011.</w:t>
      </w:r>
    </w:p>
    <w:p>
      <w:pPr>
        <w:spacing w:after="0" w:line="18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Net inflows to the mutual funds during 2012 were $15.7 billion, including $8.6 billion into our stock and blended asset funds and $7.5 billion into our bond funds. Our money market funds had net outflows of $.4 billion. Mutual fund net inflows include $6.4 billion that originated in our target-date retirement funds, which in turn invest in a broadly diversified portfolio of other Price funds, and automatically rebalance to maintain their specific asset allocation weightings. These fund net inflow amounts are presented net of $4.5 billion that was transferred to the other investment portfolios during the year. These transfers were primarily from our target-date retirement funds to our target-date retirement trusts. Market appreciation and income, net of distributions not reinvested, added $41.8 billion to our mutual fund assets under management in 2012.</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$60.3 million, or 8.1%, to $801.7 million. Average assets in these portfolios were $222.8 billion during 2012, an increase of $17.8 billion, or 8.7%, from the 2011 year. Ending assets at December 31, 2012, were $229.9 billion, an increase of $29.8 billion from the end of 2011. Net inflows into these portfolios in 2012 were $1.5 billion, including $4.5 billion that was transferred from the mutual funds. Strong cash inflows in 2012 into our subadvised funds from third-party intermediaries were offset by outflows from institutional investors outside the U.S. These net outflows were primarily from institutional separate account portfolios that have experienced investment performance challenges or changes in the clients' investment objectives. Market appreciation and income increased assets under management in these portfolios by $28.3 billion.</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Administrative fees increased $11.4 million to $332.6 million in 2012. The increase is attributable to our mutual fund servicing activities and defined contribution recordkeeping services for the mutual funds and their investors. Changes in administrative fees are generally offset by similar changes in related operating expenses that are incurred to provide services to the funds and their investors.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Distribution and servicing fees earned from 12b-1 plans of the Advisor, R, and VIP II classes of our sponsored mutual funds were $96.1 million in 2012, an increase of $21.5 million from 2011. The increase includes $13.0 million recognized on greater assets under management in these share classes, and $8.5 million earned primarily on R class shares in the first quarter of 2012</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25" w:right="239" w:bottom="1440" w:gutter="0" w:footer="0" w:header="0"/>
        </w:sectPr>
      </w:pPr>
    </w:p>
    <w:bookmarkStart w:id="26" w:name="page27"/>
    <w:bookmarkEnd w:id="26"/>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which the comparable 2011 fees were netted against related distribution and servicing costs. The 12b-1 fees earned are offset entirely by the cost paid to third-party intermediaries who source these assets. These costs are reported as distribution and servicing costs on the face of the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Compensation and related costs were $1.0 billion, an increase of $77.8 million, or 8.0%, compared to 2011. The largest part of the increase is attributable to a $33.7 million increase in salaries and related benefits, which results from a modest increase in salaries at the beginning of 2012 combined with a 2.1% increase in our average staff size from 2011. The 2012 change also includes a $32.0 million increase in our annual variable compensation programs. The remainder of the change from 2011 is attributable to increased use of outside contractors to meet growing business demands, higher non-cash stock-based compensation expense, and other employee related costs. At December 31, 2012, we employed 5,372 associates, an increase of 2.2% from the end of 2011, to support both business growth and added capabilities.</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Advertising and promotion expenditures were $89.8 million in 2012 compared to $90.8 million in 2011. We vary our level of spending based on market conditions and investor demand as well as our efforts to expand our investor base globally.</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Distribution and servicing costs paid to third-party intermediaries who source assets into the Advisor, R, and VIP II classes of our sponsored mutual funds were $96.1 million in 2012, an increase of $21.5 million from 2011. The increase includes $13.0 million recognized on greater assets under management in these share classes, and $8.5 million incurred primarily on R class shares in the first quarter of 2012 for which the comparable 2011 costs were netted against related distribution and servicing fees. The costs are offset entirely by the 12b-1 fees we earn. These fees are reported as distribution and servicing fees on the face of the consolidated statements of income.</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Occupancy and facility costs together with depreciation expense increased $18.6 million, or 9.9%, versus 2011. The change includes the added costs incurred to expand our facilities around the world as well as update our technology capabilities, including related maintenance programs, to meet increasing business demands.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operating expenses increased $21.1 million, or 10.7%, from 2011, including $16.4 million in certain third-party servicing costs incurred in 2012, for which the comparable 2011 costs were reported as reductions of advisory and administrative fee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was up $47.1 million from the 2011 period. This increase includes $32.6 million in gains realized in the second half of 2012 from the sale of certain of our investments in sponsored funds to seed other sponsored funds in support of our distribution efforts outside the U.S. The balance of the change is primarily attributable to $8.4 million in higher net gains recognized on our cost-method investments and trading securities and $3.8 million in larger dividends earned on our mutual fund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effective tax rate for 2012 was 38.4% as compared to 38.2% in 2011. Our effective income tax rate reflects the relative contribution of pre-tax income generated by our non-U.S. subsidiaries that are subject to tax rates lower than our U.S.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2013, stockholders’ equity increased from $3.8 billion to $4.8 billion. In 2013, we paid $1.52 per share in regular dividends and expended $14.1 million to repurchase 200,000 common shares from existing cash balances and cash generated from operations. We generally repurchase shares of our common stock over time to offset the dilution created by our equity-based compensation plans. Tangible book value is $4.2 billion at December 31, 2013, and our cash and fund investment holdings total $3.0 billion. Given the availability of these financial resources, we do not maintain an available external source of liquidity.</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2013, we had outstanding commitments to make additional contributions totaling $40.7 million to various investment partnerships in which we have an existing investment. We currently expect total capital expenditures for property and equipment in 2014 to be approximately $145 million. These outstanding commitments, if called, and the capital expenditures will be funded from operating resources.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00"/>
          </w:cols>
          <w:pgMar w:left="240" w:top="125" w:right="259" w:bottom="1440" w:gutter="0" w:footer="0" w:header="0"/>
        </w:sectPr>
      </w:pPr>
    </w:p>
    <w:bookmarkStart w:id="27" w:name="page28"/>
    <w:bookmarkEnd w:id="27"/>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versus 2012.</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Operating activities during 2013 provided cash flows of $1.2 billion, up $330.4 million from the 2012 period, including a $164.1 million increase in net income. Timing differences in the cash settlement of our accounts receivable and accrued revenues, payables and accrued liabilities, and other assets and liabilities increased our operating cash flows by $62.4 million compared to the 2012 year. The increase from 2012 is also a result of a $63.7 million reduction in cash used to make net purchases of trading securities held by our consolidated sponsored investment portfolios and a $21.6 million reduction in the adjustment for gains realized from the sale of certain available-for-sale sponsored fund investments as less investments were sold in 2013.</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investing activities totaled $437.5 million, up $127.4 million from 2012. We made $60.1 million more net investments in our sponsored funds during 2013 compared with 2012 as we utilized more of our cash to make additional investments as compared to the rebalancing of the portfolio in 2012. The 2012 year also included greater net cash proceeds of $40.1 million from the sale of debt securities held by our savings bank subsidiary as the bank was sold in early December 2013. We spent $28.9 million more in property and equipment additions in 2013 compared to the 2012 period. The 2013 year also includes a net cash outflow of $11.7 million related to the sale of our savings bank subsidiary as the cash that was held by the bank on the closing date was greater than the $23.6 million in proceeds we received.</w:t>
      </w:r>
    </w:p>
    <w:p>
      <w:pPr>
        <w:spacing w:after="0" w:line="193"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Net cash used in financing activities was $276.8 million in 2013, down $334.7 million from the comparable 2012 period. The decrease is primarily attributable to the repurchase of 2.1 million more shares of common stock and the payment of a $1.00 special dividend in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 versus 2011.</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Operating activities during 2012 provided cash flows of $902.8 million, down $45.6 million from 2011, due in part to the $92.7 million in net investments made by the consolidated sponsored funds we seeded during the first half of 2012 for which we have a controlling financial interest. Timing differences in the cash settlement of our accounts receivable and accrued revenues, payables and accrued liabilities, and other assets and liabilities decreased our operating cash flows by $42.5 million compared to the 2011 year. The cash flows from operating activities in 2012 also includes a reduction for the $35.1 million in gains recognized on the sale of certain fund investments as the related cash flow activity is reflected in net cash used in investing activities. These operating cash flow decreases are offset by a $110.4 million increase in net income and increases in non-cash expenses for depreciation, amortization, and stock-based compensation, which are added back to net income to determine cash from operations.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used in investing activities totaled $310.1 million, up $145.1 million from 2011. We made $218.3 million more net investments in our sponsored funds during 2012 compared with 2011. This increase was offset by greater net cash proceeds of $73.4 million in 2012 from the sale of more debt securities held by our savings bank subsidiary.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financing activities was $611.5 million in 2012, down $87.1 million from the comparable 2011 period. During 2011, we expended $344.5 million more for stock repurchases, including the repurchase of 6.4 million more shares than in 2012. This reduction in cash used was partially offset by the change in customer deposits at our savings bank subsidiary during 2012 compared to 2011 as well as a $285.5 million increase in dividends paid. The increase in dividends paid in 2012 is due to a $.03 increase in our quarterly per-share dividend and the payment of a $1.00 per share special dividend in December 2012. The balance of the decrease from 2011 in cash used is due to greater proceeds and tax benefits related to our stock-based compensation plans on increased exercise activity in late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2013.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2014 and future years. The information also excludes the $4.8 million of uncertain tax positions discussed in Note 8 to our consolidated financial statements because it is not possible to estimate the time period in which a payment might be made to the tax authorities.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125" w:right="239" w:bottom="1440" w:gutter="0" w:footer="0" w:header="0"/>
        </w:sectPr>
      </w:pPr>
    </w:p>
    <w:bookmarkStart w:id="28" w:name="page29"/>
    <w:bookmarkEnd w:id="28"/>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2015-16</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2017-18</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Later</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$40.7 million at December 31, 2013.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January 2014, we renewed and extended our operating lease at our corporate headquarters in Baltimore, Maryland through 2027. This lease agreement increases the above disclosed total noncancelable operating lease commitments by an additional $133.0 million, the vast majority of which will be paid after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2013 Annual Report. In the following discussion, we highlight and explain further certain of those policies that are most critical to the preparation and understanding of our financial statements.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Other-than-temporary impairments of available-for-sale securities</w:t>
      </w:r>
      <w:r>
        <w:rPr>
          <w:rFonts w:ascii="Arial" w:cs="Arial" w:eastAsia="Arial" w:hAnsi="Arial"/>
          <w:sz w:val="16"/>
          <w:szCs w:val="16"/>
          <w:color w:val="auto"/>
        </w:rPr>
        <w:t>. We generally classify our investment holdings in sponsored funds as available-for-sale if we are not deemed to a have a controlling financial interest. At the end of each quarter, we mark the carrying amount of each investment holding to fair value and recognize an unrealized gain or loss as a component of comprehensive income within the consolidated statements of comprehensive income. We next review each individual security position that has an unrealized loss or impairment to determine if that impairment is other than temporary.</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determining whether a mutual fund holding is other-than-temporarily impaired, we consider many factors, including the duration of time it has existed, the severity of the impairment, any subsequent changes in value, and our intent and ability to hold the security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loss of less than six months in our consolidated statements of income if the particular circumstances of the underlying investment do not warrant our belief that a near-term recovery is possible.</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sold our savings bank subsidiary in December 2013. Through the date of the transaction, we generally classified the debt securities held by the bank as available-for-sale and would mark their carrying amount to fair value quarterly and recognize an unrealized gain or loss as a component of comprehensive income within the consolidated statements of comprehensive income. We would review each individual security position that had an unrealized loss or impairment to determine if that impairment was other than temporary. The impairment was considered to be other-than-temporary if the impairment was caused by a change in credit quality that affected our ability to recover our amortized cost or if we intended to sell the security or believed it was more likely than not that we would be required to sell the security before recovering its cost. Minor impairments of 5% or less were generally considered temporary.</w:t>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Other-than-temporary impairments of equity method investments</w:t>
      </w:r>
      <w:r>
        <w:rPr>
          <w:rFonts w:ascii="Arial" w:cs="Arial" w:eastAsia="Arial" w:hAnsi="Arial"/>
          <w:sz w:val="18"/>
          <w:szCs w:val="18"/>
          <w:color w:val="auto"/>
        </w:rPr>
        <w:t>. We evaluate our equity method investments, including our investment in UTI, for impairment when events or changes in circumstances indicate that the carrying value of the investment exceeds its fair value, and the decline in fair value is other than temporary.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25" w:right="239" w:bottom="1440" w:gutter="0" w:footer="0" w:header="0"/>
        </w:sectPr>
      </w:pPr>
    </w:p>
    <w:bookmarkStart w:id="29" w:name="page30"/>
    <w:bookmarkEnd w:id="29"/>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statements of income using a fair value 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consolidated financial statements, including that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00"/>
          </w:cols>
          <w:pgMar w:left="240" w:top="125" w:right="259" w:bottom="1440" w:gutter="0" w:footer="0" w:header="0"/>
        </w:sectPr>
      </w:pPr>
    </w:p>
    <w:bookmarkStart w:id="30" w:name="page31"/>
    <w:bookmarkEnd w:id="30"/>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7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following table (in millions) presents the equity price risk from investments in sponsored funds that are accounted for as available-for-sale securities by assuming a hypothetical decline in the fair values of fund shares. We have chosen to use a variant of each fund's net asset value to quantify the equity price risk as we believe the volatility in each fund's net asset value best reflects the underlying risk potential as well as the market trends surrounding each fund's investment objective. The potential future loss of value, before any income tax benefits, of our fund investments at year-end was determined by using the lower of each fund’s lowest net asset value per share during 2013 or its net asset value per share at December 31, 2013 reduced by 10%. In considering this presentation, it is important to note that: not all funds experienced their lowest net asset value per share on the same day; it is likely that the composition of the fund investment portfolio would be changed if adverse market conditions persisted; and we could experience future losses in excess of those presented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Potential lower</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Potential</w:t>
            </w:r>
          </w:p>
        </w:tc>
        <w:tc>
          <w:tcPr>
            <w:tcW w:w="640" w:type="dxa"/>
            <w:vAlign w:val="bottom"/>
            <w:shd w:val="clear" w:color="auto" w:fill="CCEEFF"/>
          </w:tcPr>
          <w:p>
            <w:pPr>
              <w:spacing w:after="0"/>
              <w:rPr>
                <w:sz w:val="19"/>
                <w:szCs w:val="19"/>
                <w:color w:val="auto"/>
              </w:rPr>
            </w:pPr>
          </w:p>
        </w:tc>
      </w:tr>
      <w:tr>
        <w:trPr>
          <w:trHeight w:val="257"/>
        </w:trPr>
        <w:tc>
          <w:tcPr>
            <w:tcW w:w="2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12/31/2013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portfolio</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value</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portfolio</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loss</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37"/>
        </w:trPr>
        <w:tc>
          <w:tcPr>
            <w:tcW w:w="2780" w:type="dxa"/>
            <w:vAlign w:val="bottom"/>
          </w:tcPr>
          <w:p>
            <w:pPr>
              <w:ind w:left="120"/>
              <w:spacing w:after="0"/>
              <w:rPr>
                <w:sz w:val="20"/>
                <w:szCs w:val="20"/>
                <w:color w:val="auto"/>
              </w:rPr>
            </w:pPr>
            <w:r>
              <w:rPr>
                <w:rFonts w:ascii="Arial" w:cs="Arial" w:eastAsia="Arial" w:hAnsi="Arial"/>
                <w:sz w:val="18"/>
                <w:szCs w:val="18"/>
                <w:color w:val="auto"/>
              </w:rPr>
              <w:t>Stock and blended asset funds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143.8</w:t>
            </w:r>
          </w:p>
        </w:tc>
        <w:tc>
          <w:tcPr>
            <w:tcW w:w="5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954.7</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w:t>
            </w: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1,611.9</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247.1</w:t>
            </w:r>
          </w:p>
        </w:tc>
        <w:tc>
          <w:tcPr>
            <w:tcW w:w="5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The comparable potential loss of value in 2012 using the same methodology noted above was $153.8 million on sponsored fund investments of $1,140.1 million. During 2013, we actually experienced net unrealized gains of $149.7 million.</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00"/>
          </w:cols>
          <w:pgMar w:left="240" w:top="125" w:right="259" w:bottom="1440" w:gutter="0" w:footer="0" w:header="0"/>
        </w:sectPr>
      </w:pPr>
    </w:p>
    <w:bookmarkStart w:id="31" w:name="page32"/>
    <w:bookmarkEnd w:id="31"/>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diversifying its investments among many domestic and international funds. In addition, investment holdings may be altered from time to time in response to changes in market risks and other factors, as management deems appropriate.</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also held equity method investments of $231.5 million at December 31, 2013, including our $122.6 million equity investment in UTI. Given the nature of UTI’s business, should conditions deteriorate in markets in which they operate, we are at risk for loss up to our carrying amount. In addition, our investment in UTI exposes us to foreign currency risk related to translating our proportionate share of its financial statements, which are denominated in Indian rupees (INR), to U.S. dollars (USD) each reporting period. We do not use derivative financial instruments to manage this foreign currency risk, so both positive and negative fluctuations in the INR against the USD will affect accumulated other comprehensive income and the carrying amount of our investment. We had a cumulative translation loss, net of tax, of $26.9 million at December 31, 2013, related to our investment in UTI.</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360"/>
          </w:cols>
          <w:pgMar w:left="240" w:top="125"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60" w:type="dxa"/>
            <w:vAlign w:val="bottom"/>
            <w:tcBorders>
              <w:bottom w:val="single" w:sz="8" w:color="0000CC"/>
            </w:tcBorders>
            <w:gridSpan w:val="3"/>
          </w:tcPr>
          <w:p>
            <w:pPr>
              <w:spacing w:after="0"/>
              <w:rPr>
                <w:rFonts w:ascii="Arial" w:cs="Arial" w:eastAsia="Arial" w:hAnsi="Arial"/>
                <w:sz w:val="18"/>
                <w:szCs w:val="18"/>
                <w:color w:val="0000CC"/>
                <w:w w:val="92"/>
              </w:rPr>
            </w:pPr>
            <w:hyperlink w:anchor="page1">
              <w:r>
                <w:rPr>
                  <w:rFonts w:ascii="Arial" w:cs="Arial" w:eastAsia="Arial" w:hAnsi="Arial"/>
                  <w:sz w:val="18"/>
                  <w:szCs w:val="18"/>
                  <w:color w:val="0000CC"/>
                  <w:w w:val="92"/>
                </w:rPr>
                <w:t>Table of Contents</w:t>
              </w:r>
            </w:hyperlink>
          </w:p>
        </w:tc>
        <w:tc>
          <w:tcPr>
            <w:tcW w:w="528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80"/>
        </w:trPr>
        <w:tc>
          <w:tcPr>
            <w:tcW w:w="9880" w:type="dxa"/>
            <w:vAlign w:val="bottom"/>
            <w:gridSpan w:val="1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7"/>
        </w:trPr>
        <w:tc>
          <w:tcPr>
            <w:tcW w:w="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9880" w:type="dxa"/>
            <w:vAlign w:val="bottom"/>
            <w:gridSpan w:val="15"/>
          </w:tcPr>
          <w:p>
            <w:pPr>
              <w:ind w:left="40"/>
              <w:spacing w:after="0"/>
              <w:rPr>
                <w:sz w:val="20"/>
                <w:szCs w:val="20"/>
                <w:color w:val="auto"/>
              </w:rPr>
            </w:pPr>
            <w:r>
              <w:rPr>
                <w:rFonts w:ascii="Arial" w:cs="Arial" w:eastAsia="Arial" w:hAnsi="Arial"/>
                <w:sz w:val="18"/>
                <w:szCs w:val="18"/>
                <w:color w:val="auto"/>
              </w:rPr>
              <w:t>Index to Financial Statements:</w:t>
            </w:r>
          </w:p>
        </w:tc>
        <w:tc>
          <w:tcPr>
            <w:tcW w:w="1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970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Consolidated Balance Sheets at December 31, 2012 and 201</w:t>
              </w:r>
            </w:hyperlink>
            <w:r>
              <w:rPr>
                <w:rFonts w:ascii="Arial" w:cs="Arial" w:eastAsia="Arial" w:hAnsi="Arial"/>
                <w:sz w:val="18"/>
                <w:szCs w:val="18"/>
                <w:color w:val="000000"/>
              </w:rPr>
              <w:t>3</w:t>
            </w:r>
          </w:p>
        </w:tc>
        <w:tc>
          <w:tcPr>
            <w:tcW w:w="152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18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Borders>
              <w:right w:val="single" w:sz="8" w:color="auto"/>
            </w:tcBorders>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70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Statements of Income for each of the three years in the period ended December 31, 201</w:t>
              </w:r>
            </w:hyperlink>
            <w:r>
              <w:rPr>
                <w:rFonts w:ascii="Arial" w:cs="Arial" w:eastAsia="Arial" w:hAnsi="Arial"/>
                <w:sz w:val="18"/>
                <w:szCs w:val="18"/>
                <w:color w:val="000000"/>
              </w:rPr>
              <w:t>3</w:t>
            </w:r>
          </w:p>
        </w:tc>
        <w:tc>
          <w:tcPr>
            <w:tcW w:w="15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18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70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Comprehensive Income for each of the three years in the period ended December 31, 201</w:t>
              </w:r>
            </w:hyperlink>
            <w:r>
              <w:rPr>
                <w:rFonts w:ascii="Arial" w:cs="Arial" w:eastAsia="Arial" w:hAnsi="Arial"/>
                <w:sz w:val="18"/>
                <w:szCs w:val="18"/>
                <w:color w:val="000000"/>
              </w:rPr>
              <w:t>3</w:t>
            </w:r>
          </w:p>
        </w:tc>
        <w:tc>
          <w:tcPr>
            <w:tcW w:w="15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8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8440" w:type="dxa"/>
            <w:vAlign w:val="bottom"/>
            <w:gridSpan w:val="1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Consolidated Statements of Cash Flows for each of the three years in the period ended December 31, 201</w:t>
              </w:r>
            </w:hyperlink>
            <w:r>
              <w:rPr>
                <w:rFonts w:ascii="Arial" w:cs="Arial" w:eastAsia="Arial" w:hAnsi="Arial"/>
                <w:sz w:val="18"/>
                <w:szCs w:val="18"/>
                <w:color w:val="000000"/>
                <w:w w:val="98"/>
              </w:rPr>
              <w:t>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180" w:type="dxa"/>
            <w:vAlign w:val="bottom"/>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70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Stockholders' Equity for each of the three years in the period ended December 31, 201</w:t>
              </w:r>
            </w:hyperlink>
            <w:r>
              <w:rPr>
                <w:rFonts w:ascii="Arial" w:cs="Arial" w:eastAsia="Arial" w:hAnsi="Arial"/>
                <w:sz w:val="18"/>
                <w:szCs w:val="18"/>
                <w:color w:val="000000"/>
              </w:rPr>
              <w:t>3</w:t>
            </w:r>
          </w:p>
        </w:tc>
        <w:tc>
          <w:tcPr>
            <w:tcW w:w="15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18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20" w:type="dxa"/>
            <w:vAlign w:val="bottom"/>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Summary of Significant Accounting Policies</w:t>
              </w:r>
            </w:hyperlink>
          </w:p>
        </w:tc>
        <w:tc>
          <w:tcPr>
            <w:tcW w:w="5000" w:type="dxa"/>
            <w:vAlign w:val="bottom"/>
            <w:gridSpan w:val="8"/>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18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880" w:type="dxa"/>
            <w:vAlign w:val="bottom"/>
            <w:gridSpan w:val="5"/>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Notes to Consolidated Financial Statements, including Supplementary Quarterly Financial Data</w:t>
              </w:r>
            </w:hyperlink>
          </w:p>
        </w:tc>
        <w:tc>
          <w:tcPr>
            <w:tcW w:w="2820" w:type="dxa"/>
            <w:vAlign w:val="bottom"/>
            <w:gridSpan w:val="9"/>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8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88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2820" w:type="dxa"/>
            <w:vAlign w:val="bottom"/>
            <w:gridSpan w:val="9"/>
          </w:tcPr>
          <w:p>
            <w:pPr>
              <w:spacing w:after="0"/>
              <w:rPr>
                <w:sz w:val="21"/>
                <w:szCs w:val="21"/>
                <w:color w:val="auto"/>
              </w:rPr>
            </w:pPr>
          </w:p>
        </w:tc>
        <w:tc>
          <w:tcPr>
            <w:tcW w:w="15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18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108" w:right="259" w:bottom="1440" w:gutter="0" w:footer="0" w:header="0"/>
        </w:sectPr>
      </w:pPr>
    </w:p>
    <w:bookmarkStart w:id="33" w:name="page34"/>
    <w:bookmarkEnd w:id="33"/>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12/31/2012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12/31/2013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398.8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572.9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5,033.1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Customer deposits at savings bank subsidiary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r>
      <w:tr>
        <w:trPr>
          <w:trHeight w:val="318"/>
        </w:trPr>
        <w:tc>
          <w:tcPr>
            <w:tcW w:w="8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24"/>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$.20 par value - authorized 750,000,000; issued 257,018,000 shares in 2012 and 262,073,000 in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894.6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188.3</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5,033.1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33</w:t>
      </w:r>
    </w:p>
    <w:p>
      <w:pPr>
        <w:sectPr>
          <w:pgSz w:w="11900" w:h="16838" w:orient="portrait"/>
          <w:cols w:equalWidth="0" w:num="1">
            <w:col w:w="11420"/>
          </w:cols>
          <w:pgMar w:left="240" w:top="125" w:right="239" w:bottom="1440" w:gutter="0" w:footer="0" w:header="0"/>
        </w:sectPr>
      </w:pPr>
    </w:p>
    <w:bookmarkStart w:id="34" w:name="page35"/>
    <w:bookmarkEnd w:id="34"/>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2,592.0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3,022.6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 of savings bank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3,484.2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facility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257.6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1,846.8</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1,637.4</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652.7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34</w:t>
      </w:r>
    </w:p>
    <w:p>
      <w:pPr>
        <w:sectPr>
          <w:pgSz w:w="11900" w:h="16838" w:orient="portrait"/>
          <w:cols w:equalWidth="0" w:num="1">
            <w:col w:w="11400"/>
          </w:cols>
          <w:pgMar w:left="240" w:top="125" w:right="259" w:bottom="1440" w:gutter="0" w:footer="0" w:header="0"/>
        </w:sectPr>
      </w:pPr>
    </w:p>
    <w:bookmarkStart w:id="35" w:name="page36"/>
    <w:bookmarkEnd w:id="35"/>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773.2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883.6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holding gains (losses) 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Investments in sponsored funds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holding gains (losses)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Reclassification adjustment related to capital gain distributions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Reclassification adjustment on net gains realized, determined using average cost</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6720" w:type="dxa"/>
            <w:vAlign w:val="bottom"/>
          </w:tcPr>
          <w:p>
            <w:pPr>
              <w:ind w:left="160"/>
              <w:spacing w:after="0"/>
              <w:rPr>
                <w:sz w:val="20"/>
                <w:szCs w:val="20"/>
                <w:color w:val="auto"/>
              </w:rPr>
            </w:pPr>
            <w:r>
              <w:rPr>
                <w:rFonts w:ascii="Arial" w:cs="Arial" w:eastAsia="Arial" w:hAnsi="Arial"/>
                <w:sz w:val="18"/>
                <w:szCs w:val="18"/>
                <w:color w:val="auto"/>
              </w:rPr>
              <w:t>Investments in sponsored funds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120.9</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securities held by savings bank subsidiary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Net unrealized holding gains (losses)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Reclassification adjustment for net unrealized holding gains derecognized upon the sale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savings bank subsidiary</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720" w:type="dxa"/>
            <w:vAlign w:val="bottom"/>
          </w:tcPr>
          <w:p>
            <w:pPr>
              <w:ind w:left="160"/>
              <w:spacing w:after="0"/>
              <w:rPr>
                <w:sz w:val="20"/>
                <w:szCs w:val="20"/>
                <w:color w:val="auto"/>
              </w:rPr>
            </w:pPr>
            <w:r>
              <w:rPr>
                <w:rFonts w:ascii="Arial" w:cs="Arial" w:eastAsia="Arial" w:hAnsi="Arial"/>
                <w:sz w:val="18"/>
                <w:szCs w:val="18"/>
                <w:color w:val="auto"/>
              </w:rPr>
              <w:t>Debt securities held by savings bank subsidiary</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Proportionate share of net unrealized holding gains on securities held by UTI Asset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Management Company Limited</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240"/>
              <w:spacing w:after="0"/>
              <w:rPr>
                <w:sz w:val="20"/>
                <w:szCs w:val="20"/>
                <w:color w:val="auto"/>
              </w:rPr>
            </w:pPr>
            <w:r>
              <w:rPr>
                <w:rFonts w:ascii="Arial" w:cs="Arial" w:eastAsia="Arial" w:hAnsi="Arial"/>
                <w:sz w:val="18"/>
                <w:szCs w:val="18"/>
                <w:color w:val="auto"/>
                <w:w w:val="94"/>
              </w:rPr>
              <w:t>Total net unrealized holding gains (losses) recognized in other comprehensive income</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other comprehensive income (loss) before income taxes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benefits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736.9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912.7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1,104.1</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35</w:t>
      </w:r>
    </w:p>
    <w:p>
      <w:pPr>
        <w:sectPr>
          <w:pgSz w:w="11900" w:h="16838" w:orient="portrait"/>
          <w:cols w:equalWidth="0" w:num="1">
            <w:col w:w="11400"/>
          </w:cols>
          <w:pgMar w:left="240" w:top="125" w:right="259" w:bottom="1440" w:gutter="0" w:footer="0" w:header="0"/>
        </w:sectPr>
      </w:pPr>
    </w:p>
    <w:bookmarkStart w:id="36" w:name="page37"/>
    <w:bookmarkEnd w:id="36"/>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773.2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1,047.7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90.6</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gains on the dispositions of sponsored funds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gains recognized on other investments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trading securities held by consolidated investment portfolios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81.8</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948.4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1,233.2</w:t>
            </w:r>
          </w:p>
        </w:tc>
      </w:tr>
      <w:tr>
        <w:trPr>
          <w:trHeight w:val="318"/>
        </w:trPr>
        <w:tc>
          <w:tcPr>
            <w:tcW w:w="67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in sponsored funds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of sponsored funds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in debt securities held by savings bank subsidiary</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debt securities held by savings bank subsidiary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(437.5)</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118.2</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savings bank subsidiary deposits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(698.6)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during year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At beginning of year</w:t>
            </w: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813.1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879.1</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end of year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36</w:t>
      </w:r>
    </w:p>
    <w:p>
      <w:pPr>
        <w:sectPr>
          <w:pgSz w:w="11900" w:h="16838" w:orient="portrait"/>
          <w:cols w:equalWidth="0" w:num="1">
            <w:col w:w="11400"/>
          </w:cols>
          <w:pgMar w:left="240" w:top="125" w:right="259" w:bottom="1440" w:gutter="0" w:footer="0" w:header="0"/>
        </w:sectPr>
      </w:pPr>
    </w:p>
    <w:bookmarkStart w:id="37" w:name="page38"/>
    <w:bookmarkEnd w:id="37"/>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94"/>
              </w:rPr>
              <w:t>Additional</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7"/>
              </w:rPr>
              <w:t>Accumulated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Common</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3"/>
              </w:rPr>
              <w:t>capital in</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7"/>
              </w:rPr>
              <w:t>other</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2"/>
              </w:rPr>
              <w:t>Total</w:t>
            </w: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1"/>
              </w:rPr>
              <w:t>shares</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90"/>
              </w:rPr>
              <w:t>Common</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5"/>
              </w:rPr>
              <w:t>excess of par</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Retained</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8"/>
              </w:rPr>
              <w:t>comprehensive</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9"/>
              </w:rPr>
              <w:t>stockholders’</w:t>
            </w:r>
          </w:p>
        </w:tc>
      </w:tr>
      <w:tr>
        <w:trPr>
          <w:trHeight w:val="170"/>
        </w:trPr>
        <w:tc>
          <w:tcPr>
            <w:tcW w:w="39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outstanding</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color w:val="auto"/>
                <w:w w:val="92"/>
              </w:rPr>
              <w:t>stock</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9"/>
              </w:rPr>
              <w:t>value</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earnings</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0"/>
              </w:rPr>
              <w:t>income (loss)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equity</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2010</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258,760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51.7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506.3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2,599.4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3,296.5</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773.2</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loss, net of tax</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(317.9)</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54.7</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35.9</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98.7</w:t>
            </w: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(8,695)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(188.5)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(479.7)</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2011</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253,272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2,765.2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3,420.7</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883.6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29.1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92.6</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60.8</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104.1</w:t>
            </w: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(2,302)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(135.2)</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2012</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257,018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3,846.1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1,047.7</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56.4</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128.1</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45.9</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114.6</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3900" w:type="dxa"/>
            <w:vAlign w:val="bottom"/>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242"/>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2013</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262,073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4,818.1</w:t>
            </w: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37</w:t>
      </w:r>
    </w:p>
    <w:p>
      <w:pPr>
        <w:sectPr>
          <w:pgSz w:w="11900" w:h="16838" w:orient="portrait"/>
          <w:cols w:equalWidth="0" w:num="1">
            <w:col w:w="11420"/>
          </w:cols>
          <w:pgMar w:left="240" w:top="125" w:right="239" w:bottom="1440" w:gutter="0" w:footer="0" w:header="0"/>
        </w:sectPr>
      </w:pPr>
    </w:p>
    <w:bookmarkStart w:id="38" w:name="page39"/>
    <w:bookmarkEnd w:id="38"/>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U.S. These principles require that we make certain estimates and assumptions. Actual results may vary from our estimates. Certain 2012 amounts have been reclassified to conform to the 2013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NEW FINANCIAL REPORTING GUIDANCE.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1, 2013, we adopted new financial reporting guidance that requires the disclosure of information about significant items reclassified out of accumulated other comprehensive income, including the line item of our consolidated income statements to which such items were reclassified. The required information could be presented either on the face of the financial statements or in the notes. We elected to present these disclosures in Note 12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financial statements include the accounts of all subsidiaries and sponsored portfolios in which we have a controlling financial interest. We are generally deemed to have a controlling financial interest when we own the majority of the voting interest of an entity or are considered to be the primary beneficiary of a variable interest entity. All material intercompany accounts and transactions are eliminated in consolidation. We have determined that the sponsored portfolios we have investments in at December 31, 2012 and 2013, are voting interest entities and, as a result, have consolidated those sponsored portfolios in which we own a majority of the voting interest.</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we determine that we no longer have a controlling financial interest in a subsidiary or a sponsored portfolio, we deconsolidate the carrying value of their assets and liabilities, and record our remaining equity interest, if any, at its fair value. Any gain or loss realized upon deconsolidation is included in non-operating investment income in our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SPONSORED FUNDS - AVAILABLE FOR SALE.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are investments we have made for both general corporate investment purposes and to provide seed capital for newly formed funds. These sponsored funds were determined to be voting interest entities and are classified as available-for-sale. These investments are carried at fair value using the quoted closing net asset value, or NAV, per share of each fund as of the balance sheet date. Changes in net unrealized holding gains (losses) on these investments are recognized in other comprehensive income.</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review the carrying amount of each investment on a quarterly basis and recognize an impairment charge in non-operating investment income whenever an unrealized loss is considered other than temporary. In determining whether a fund holding is other-than-temporarily impaired, we consider various factors, including the duration of time it has existed, the severity of the impairment, any subsequent changes in value, and our intent and ability to hold the fund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00"/>
          </w:cols>
          <w:pgMar w:left="240" w:top="125" w:right="259" w:bottom="1440" w:gutter="0" w:footer="0" w:header="0"/>
        </w:sectPr>
      </w:pPr>
    </w:p>
    <w:bookmarkStart w:id="39" w:name="page40"/>
    <w:bookmarkEnd w:id="39"/>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temporary impairment. We may also recognize an other-than-temporary impairment if particular circumstances of the underlying investment do not warrant our belief that a near-term recovery is possible.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HELD BY SAVINGS BANK SUBSIDIARY.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completed the sale of our savings bank subsidiary in December 2013. Until the sale was completed, the investments held by the savings bank were in marketable debt securities, including mortgage- and other asset-backed securities and were classified as available-for-sale and reported at fair value. Changes in net unrealized holding gains (losses) on these debt securities were recognized in other comprehensive income.</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debt securities were generally traded in the over-the-counter market. Securities with remaining maturities of one year or more at the time of acquisition were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remaining maturities of less than one year at the time of acquisition generally were valued at amortized cost, which approximates fair value; however, if amortized cost was deemed not to reflect fair value, such securities were valued by us based generally on prices furnished by dealers who make markets in such securities or by an independent pricing service. Our investment valuation policies, methods, and sources were the same as those employed by the T. Rowe Price U.S. sponsored mutual funds to price similar investment holdings.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reviewed the carrying amount of each investment on a quarterly basis and recognized an impairment charge in non-operating investment income if the impairment was caused by a change in credit quality that affected our ability to recover our amortized cost. An impairment charge would also be taken if we intended to sell the security before its maturity, which generally correlated to the maturities of our customer deposits, or if we believed that it was more likely than not that we would be required to sell the security before recovering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method investments consist of investments in entities over which we do not exercise significant influence over the operating and financial policies of the investee.</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Equity method investments consist of investments in entities, including sponsored portfolios, over which we have the ability to exercise significant influence over the operating and financial policies of the investee. The carrying value of these investments are adjusted to reflect our proportionate share of the investee's net income or loss, any unrealized gain or loss resulting from the translation of foreign denominated financial statements into U.S. dollars, and dividends received. Our proportionate share of income or loss is included in non-operating investment income in the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9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evaluate our equity and cost method investments for impairment when events or changes in circumstances indicate that the carrying value of the investment exceeds its fair value, and the decline in fair value is other than temporary.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Investments held as trading consist of the underlying securities of sponsored portfolios in which we have a controlling financial interest and sponsored portfolio investments we expect to hold for only a short period of time. These investments are generally the initial seed investments we make at the portfolio's formation. If we are deemed to have a controlling financial interest in the sponsored portfolio, we will consolidate the investment, and the portfolio's underlying securities are accounted for as trading securities. These investments are carried at fair value, with changes in fair value recognized in non-operating investment income. The valuation policies, methods, and sources for these investments are the same as those employed by the T. Rowe Price U.S. mutual funds to price similar investment holdings as further described under our revenue recognition policy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investments in sponsored funds and investments held as trading expose us to market risk in the form of equity price risk, that is, the potential future loss of value that would result from a decline in the fair value of each investment or its underlying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380"/>
          </w:cols>
          <w:pgMar w:left="240" w:top="125" w:right="279" w:bottom="1440" w:gutter="0" w:footer="0" w:header="0"/>
        </w:sectPr>
      </w:pPr>
    </w:p>
    <w:bookmarkStart w:id="40" w:name="page41"/>
    <w:bookmarkEnd w:id="40"/>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assets. Our underlying holdings of our assets under management are also subject to market risk, which may arise from changes in equity prices, credit ratings, foreign currency exchange rates, and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4 years; buildings and improvements, 33 years; leasehold improvements, 9 years; furniture and other equipment, 7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Fees for investment advisory services, which are based on a percentage of assets under management, and related administrative services that we provide to investment advisory clients, including our sponsored funds and portfolios, are recognized in the period that our services are provided.</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our sponsored U.S.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Distribution and servicing fees earned from 12b-1 plans of the Advisor, R, and VIP II classes of our sponsored U.S. mutual funds are recognized in the period that they are earned, which is the same period that the related mutual funds recognize their expense. These fees are offset entirely by the distribution and servicing costs paid to third-party financial intermediaries that source the assets of these share classes.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provide all services to the sponsored U.S. mutual funds under contracts that are subject to periodic review and approval by each of the funds’ boards.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maintain three stockholder approved employee long-term incentive plans (2012 Long-Term Incentive Plan, 2004 Stock Incentive Plan, and 2001 Stock Incentive Plan, collectively the LTI Plans) and two stockholder approved non-employee director plans (2007 Non-Employee Director Equity Plan and 1998 Director Stock Option Plan). We believe that our stock-based compensation programs align the interests of our employees and directors with those of our common stockholders. As of December 31, 2013, a total of 15,456,884 shares were available for future grant under the 2012 Long-Term Incentive Plan and 2007 Non-Employee Director Equity Plan.</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Under our LTI Plans, we have issued restricted shares and restricted stock units to employees that convert to shares after vesting. Vesting of these awards is based on the individual continuing to render service over a four-to six-year graded schedule.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380"/>
          </w:cols>
          <w:pgMar w:left="240" w:top="125" w:right="279" w:bottom="1440" w:gutter="0" w:footer="0" w:header="0"/>
        </w:sectPr>
      </w:pPr>
    </w:p>
    <w:bookmarkStart w:id="41" w:name="page42"/>
    <w:bookmarkEnd w:id="41"/>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restricted shareholders and restricted stock unit holders receive non-forfeitable cash dividends and cash dividend-equivalents, respectively, on our dividend payable date.</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2012, we began granting performance-based restricted shares and restricted stock units to certain executive officers in which the number of restricted shares or restricted stock units ultimately retained is determined based on achievement of certain performance thresholds. The number of restricted shares or restricted stock units retained is also subject to the same time-based vesting requirement as the other restricted shares or restricted stock units described above. Cash dividends and cash dividend-equivalents are accrued and paid to the holders of performance-based restricted shares and restricted stock units only after the performance period has lapsed and the performance thresholds have been met.</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our LTI plans, we have granted qualified incentive and nonqualified fixed stock options with a maximum term of 10 years to employees. Vesting of our employee option grants is based on the individual continuing to render service and generally occurs over a five- to six-year graded schedule. The exercise price of each option granted is equivalent to the market price of the common stock at the date of grant.</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grant options, with a maximum term of 10 years, restricted shares and restricted stock units to non-employee directors under the stockholder approved 2007 Non-Employee Director Plan. These grants vest over 6 months to one year, and in the case of restricted stock units, are settled upon the non-employee directors’ departure from the board. Non-employee directors holding restricted shares receive non-forfeitable dividends while restricted stock unit holders are issued non-forfeitable dividend equivalents in the form of vested stock units on our dividend payable date.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The expense recognized includes an estimate of awards that will be forfeited. Both time-based and performance-based restricted shares and units are valued on the grant-date using the closing market price of our common stock, though consideration is also given to the probability of the performance thresholds being met when valuing the performance-based restricted awards and units. We used the Black-Scholes option-pricing model to estimate the fair value of each option grant, including reloads,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Weighted-average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2013</w:t>
            </w:r>
          </w:p>
        </w:tc>
      </w:tr>
      <w:tr>
        <w:trPr>
          <w:trHeight w:val="27"/>
        </w:trPr>
        <w:tc>
          <w:tcPr>
            <w:tcW w:w="6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 including reload grants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the change in net unrealized security holding gains (losses), and the change in our currency translation adjustment. The currency translation adjustment results primarily from translating our proportionate share of the financial statements of UTI, our equity method investment, into U.S. dollars. Assets and liabilities are translated into U.S. dollars using year-end exchange rates, and revenues and expenses are translated using weighted-average exchange rates for the period. The changes in accumulated balances of each component of other comprehensive income and the deferred tax impacts of each component are presented in the notes to the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125" w:right="239" w:bottom="1440" w:gutter="0" w:footer="0" w:header="0"/>
        </w:sectPr>
      </w:pPr>
    </w:p>
    <w:bookmarkStart w:id="42" w:name="page43"/>
    <w:bookmarkEnd w:id="42"/>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equivalent investments in our sponsored money market mutual funds aggregate $732.8 million at December 31, 2012, and $1,288.1 million at December 31, 2013. Dividends earned on these investments were $.1 million in 2011, 2012,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Accounts receivable from our sponsored U.S. mutual funds for advisory fees and advisory-related administrative services aggregate $184.0 million at December 31, 2012, and $221.9 million at December 31, 2013.</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(in millions) from advisory services provided under agreements with our sponsored U.S. mutual funds and other investment portfolio clients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2,126.1</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3,022.6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during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720" w:type="dxa"/>
            <w:vAlign w:val="bottom"/>
            <w:tcBorders>
              <w:bottom w:val="single" w:sz="8" w:color="auto"/>
            </w:tcBorders>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As of December 31,</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341.7</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195.3</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6.5% of our assets under management at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Administrative fees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247.0</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258.3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 and servicing fees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125" w:right="239" w:bottom="1440" w:gutter="0" w:footer="0" w:header="0"/>
        </w:sectPr>
      </w:pPr>
    </w:p>
    <w:bookmarkStart w:id="43" w:name="page44"/>
    <w:bookmarkEnd w:id="43"/>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millions) in sponsored funds accounted for as available-for-sale at December 31 include: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Unrealized holding</w:t>
            </w: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losses</w:t>
            </w: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fair value</w:t>
            </w:r>
          </w:p>
        </w:tc>
      </w:tr>
      <w:tr>
        <w:trPr>
          <w:trHeight w:val="183"/>
        </w:trPr>
        <w:tc>
          <w:tcPr>
            <w:tcW w:w="400" w:type="dxa"/>
            <w:vAlign w:val="bottom"/>
            <w:gridSpan w:val="2"/>
          </w:tcPr>
          <w:p>
            <w:pPr>
              <w:ind w:left="40"/>
              <w:spacing w:after="0" w:line="182" w:lineRule="exact"/>
              <w:rPr>
                <w:sz w:val="20"/>
                <w:szCs w:val="20"/>
                <w:color w:val="auto"/>
              </w:rPr>
            </w:pPr>
            <w:r>
              <w:rPr>
                <w:rFonts w:ascii="Arial" w:cs="Arial" w:eastAsia="Arial" w:hAnsi="Arial"/>
                <w:sz w:val="18"/>
                <w:szCs w:val="18"/>
                <w:color w:val="auto"/>
                <w:w w:val="84"/>
              </w:rPr>
              <w:t>2012</w:t>
            </w:r>
          </w:p>
        </w:tc>
        <w:tc>
          <w:tcPr>
            <w:tcW w:w="47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624.3</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907.8</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2013</w:t>
            </w:r>
          </w:p>
        </w:tc>
        <w:tc>
          <w:tcPr>
            <w:tcW w:w="4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354.7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657.2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954.7</w:t>
            </w: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1,258.7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1,611.9</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unrealized holding losses at December 31, 2013, are attributable to six fund holdings with an aggregate fair value of $155.9 million and are considered temporary.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$10.6 million in 2011, $11.8 million in 2012, and $10.6 million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SAVINGS BANK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23, 2013, we entered into an agreement to sell 100% of the capital stock of our savings bank subsidiary to Jacob M. Safra for cash equal to the bank's net book value on the closing date plus $500,000. We completed the sale on December 5, 2013, for proceeds of $23.6 million. The total gain we recognized in non-operating investment income also included $1.0 million of net unrealized holding gains previously recognized on the saving bank's available-for-sale portfolio that were reclassified from accumulated other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net revenue (in millions) contributed by our savings bank subsidiary included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2011</w:t>
            </w: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income from debt securities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customer deposits</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(in millions) of our savings bank subsidiary in our consolidated balance sheet at December 31,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180.7</w:t>
            </w:r>
          </w:p>
        </w:tc>
      </w:tr>
      <w:tr>
        <w:trPr>
          <w:trHeight w:val="311"/>
        </w:trPr>
        <w:tc>
          <w:tcPr>
            <w:tcW w:w="9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154.7</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125" w:right="239" w:bottom="1440" w:gutter="0" w:footer="0" w:header="0"/>
        </w:sectPr>
      </w:pPr>
    </w:p>
    <w:bookmarkStart w:id="44" w:name="page45"/>
    <w:bookmarkEnd w:id="44"/>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debt securities held by our savings bank subsidiary were marketable debt securities, including mortgage- and other asset-backed securities, which were accounted for as available-for-sale. The following table (in millions) details the components of these investments at December 31, 2012.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2"/>
              </w:rPr>
              <w:t>Unrealized</w:t>
            </w:r>
          </w:p>
        </w:tc>
      </w:tr>
      <w:tr>
        <w:trPr>
          <w:trHeight w:val="216"/>
        </w:trPr>
        <w:tc>
          <w:tcPr>
            <w:tcW w:w="8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6"/>
              </w:rPr>
              <w:t>holding</w:t>
            </w:r>
          </w:p>
        </w:tc>
      </w:tr>
      <w:tr>
        <w:trPr>
          <w:trHeight w:val="216"/>
        </w:trPr>
        <w:tc>
          <w:tcPr>
            <w:tcW w:w="8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Fair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gains</w:t>
            </w:r>
          </w:p>
        </w:tc>
      </w:tr>
      <w:tr>
        <w:trPr>
          <w:trHeight w:val="257"/>
        </w:trPr>
        <w:tc>
          <w:tcPr>
            <w:tcW w:w="8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value</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8"/>
              </w:rPr>
              <w:t>(losses)</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with temporary impairment of</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than 12 months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12 months or more</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with unrealized holding gains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136.0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Aggregate cost</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unrealized losses in these investments at December 31, 2012 totaled $35,000 and were generally caused by changes in interest rates and market liquidity, and not by changes in credit quality. We intended to hold these securities to their maturities and believed it was more-likely-than-not that we would not be required to sell any of these securities before recovery of their amortized cost. Accordingly, impairment of these investments was considered temporary at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interest in Daiwa SB Investments Ltd. (Japan)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mutual fund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2013, we deconsolidated certain sponsored investment portfolios, in which we provided initial seed capital at the time of its formation, as we no longer had a controlling financial interest. Accordingly, we deconsolidated the carrying value of the investments held as trading, which was $106.3 million at the deconsolidation dates, and are reporting our residual interest in these sponsored investment portfolios as an equity method investment. Since our consolidated investment portfolios were carried at fair value, we did not recognize any gain or loss in our consolidated statement of income upon deconsolidation. The impact of the deconsolidation on our consolidated balance sheet was immaterial.</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2013, we had outstanding commitments to make additional contributions totaling $40.7 million to various investment partnerships. The vast majority of these additional contributions will be made to investment partnerships in which we have an existing investment. In addition to such amounts, a percentage of prior distributions may be called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125" w:right="239" w:bottom="1440" w:gutter="0" w:footer="0" w:header="0"/>
        </w:sectPr>
      </w:pPr>
    </w:p>
    <w:bookmarkStart w:id="45" w:name="page46"/>
    <w:bookmarkEnd w:id="45"/>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820" w:right="720" w:hanging="161"/>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820" w:right="40" w:hanging="161"/>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13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were no transfers between the levels in 2012 or 2013. The following table summarizes our investments (in millions) that are recognized in our consolidated balance sheets at year end using fair value measurements determined based on the differing levels of inputs.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Level 2</w:t>
            </w:r>
          </w:p>
        </w:tc>
      </w:tr>
      <w:tr>
        <w:trPr>
          <w:trHeight w:val="183"/>
        </w:trPr>
        <w:tc>
          <w:tcPr>
            <w:tcW w:w="400" w:type="dxa"/>
            <w:vAlign w:val="bottom"/>
            <w:gridSpan w:val="2"/>
          </w:tcPr>
          <w:p>
            <w:pPr>
              <w:ind w:left="40"/>
              <w:spacing w:after="0" w:line="182" w:lineRule="exact"/>
              <w:rPr>
                <w:sz w:val="20"/>
                <w:szCs w:val="20"/>
                <w:color w:val="auto"/>
              </w:rPr>
            </w:pPr>
            <w:r>
              <w:rPr>
                <w:rFonts w:ascii="Arial" w:cs="Arial" w:eastAsia="Arial" w:hAnsi="Arial"/>
                <w:sz w:val="18"/>
                <w:szCs w:val="18"/>
                <w:color w:val="auto"/>
                <w:w w:val="84"/>
              </w:rPr>
              <w:t>2012</w:t>
            </w:r>
          </w:p>
        </w:tc>
        <w:tc>
          <w:tcPr>
            <w:tcW w:w="79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Investments in sponsored funds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Debt securities held by savings bank subsidiary</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2013</w:t>
            </w:r>
          </w:p>
        </w:tc>
        <w:tc>
          <w:tcPr>
            <w:tcW w:w="7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Customer deposits at our savings bank subsidiary at December 31, 2012, were not measured at fair value in our consolidated balance sheet. At December 31, 2012, the estimated fair value of these deposits, based on discounting expected cash outflows at maturity dates that range up to five years using current interest rates offered for deposits with the same dates of maturity, was $157.8 million. This fair value was determined using Level 2 inputs.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7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 millions) at December 31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572.9</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$7.5 million in 2011, $14.9 million in 2012, and $15.5 million in 2013 have been capitalized.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125" w:right="239" w:bottom="1440" w:gutter="0" w:footer="0" w:header="0"/>
        </w:sectPr>
      </w:pPr>
    </w:p>
    <w:bookmarkStart w:id="46" w:name="page47"/>
    <w:bookmarkEnd w:id="46"/>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occupy certain office facilities and lease computer and other equipment under noncancelable operating leases. Related rental expense was $26.5 million in 2011, $28.3 million in 2012, and $31.5 million in 2013. Future minimum payments under these leases aggregate $31.7 million in 2014, $29.2 million in 2015, $27.7 million in 2016, $17.7 million in 2017, $8.0 million in 2018, and $10.1 million in later years. In January 2014, we renewed and extended our operating lease at our corporate headquarters in Baltimore, Maryland through 2027. This lease agreement increases our future minimum lease payments by an additional $133.0 million, the vast majority of which will be paid in and after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8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local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477.4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652.7</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Deferred income taxes and benefits arise from temporary differences between taxable income for financial statement and income tax return purposes. Deferred income taxes in 2011 include $13.9 million related to property and equipment offset by deferred tax benefits of $15.1 million related to the recognition of stock-based compensation expense. Deferred income taxes in 2012 include $14.2 million from the reversal of deferred tax assets related to other-than-temporary impairments previously recognized on sponsored fund investments that were sold in 2012 offset by deferred tax benefits of $5.2 million related to accrued compensation. Deferred income taxes in 2013 include $5.2 million from the reversal of the deferred tax assets related to accrued compensation that were established in 2012, $5.3 million related to property and equipment, and $4.3 million from the reversal of deferred tax assets related to other-than-temporary impairments previously recognized on sponsored fund investments that were sold in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00" w:type="dxa"/>
            <w:vAlign w:val="bottom"/>
            <w:gridSpan w:val="2"/>
            <w:shd w:val="clear" w:color="auto" w:fill="CCEEFF"/>
          </w:tcPr>
          <w:p>
            <w:pPr>
              <w:ind w:left="7120"/>
              <w:spacing w:after="0"/>
              <w:rPr>
                <w:sz w:val="20"/>
                <w:szCs w:val="20"/>
                <w:color w:val="auto"/>
              </w:rPr>
            </w:pPr>
            <w:r>
              <w:rPr>
                <w:rFonts w:ascii="Arial" w:cs="Arial" w:eastAsia="Arial" w:hAnsi="Arial"/>
                <w:sz w:val="18"/>
                <w:szCs w:val="18"/>
                <w:color w:val="auto"/>
                <w:w w:val="89"/>
              </w:rPr>
              <w:t>2011</w:t>
            </w: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2013</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Statutory U.S. federal income tax rate</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items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38.2 %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125" w:right="239" w:bottom="1440" w:gutter="0" w:footer="0" w:header="0"/>
        </w:sectPr>
      </w:pPr>
    </w:p>
    <w:bookmarkStart w:id="47" w:name="page48"/>
    <w:bookmarkEnd w:id="47"/>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00" w:lineRule="exact"/>
        <w:rPr>
          <w:sz w:val="20"/>
          <w:szCs w:val="20"/>
          <w:color w:val="auto"/>
        </w:rPr>
      </w:pPr>
    </w:p>
    <w:p>
      <w:pPr>
        <w:spacing w:after="0" w:line="2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net deferred tax asset (liability) (in millions) recognized in our consolidated balance sheets in other assets at December 31, 2012, and income taxes payable at December 31, 2013,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other-than-temporary impairments of investments in sponsored funds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Recognized in other comprehensive income on currency translation adjustment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 deferred tax liability for unremitted earnings of our foreign subsidiaries has not been recognized, as it is our intention to indefinitely reinvest these earnings outside the U.S. The unremitted earnings of these subsidiaries are estimated to be $270.8 million at December 31, 2013. If these earnings were distributed to the U.S. in the form of dividends or otherwise, or if any of the entities were sold or otherwise transferred, we would be subject to U.S. income taxes, less any foreign tax credits. Determination of the amount of the unrecognized deferred tax liability related to these earnings is not 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includes tax refund receivables of $45.0 million at December 31, 2012, and $1.2 million at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outflows from operating activities include net income taxes paid of $430.1 million in 2011, $514.9 million in 2012, and $532.9 million in 2013.</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 income tax benefits of $36.3 million in 2011, $60.9 million in 2012, and $45.9 million in 2013 arising from stock-based compensation plans activity reduced the amount of income taxes that would have otherwise been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2011</w:t>
            </w: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Expired statute of limitations</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If recognized, these tax benefits would affect our effective tax rate; however, we do not expect that unrecognized tax benefits for tax positions taken with respect to 2013 and prior years will significantly change in 2014. The U.S. has concluded examinations related to federal tax obligations through the year 2009. Net interest recognized in our consolidated balance sheets was a $6.3 million receivable at December 31, 2012, and a $1.0 million payable at December 31, 2013. Our accounting policy with respect to interest and penalties arising from income tax settlements is to recognize them as part of our provision for income taxes. Interest recognized as part of our provision for income taxes was not material.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125" w:right="239" w:bottom="1440" w:gutter="0" w:footer="0" w:header="0"/>
        </w:sectPr>
      </w:pPr>
    </w:p>
    <w:bookmarkStart w:id="48" w:name="page49"/>
    <w:bookmarkEnd w:id="48"/>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9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11,213,467 common shares as of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Regular cash dividends declared per share were $1.24 in 2011, $1.36 in 2012, and $1.52 in 2013. In December 2012, the Board of Directors also declared a special dividend of $1.00 per share that was paid on December 28,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consolidated stockholders' equity at December 31, 2013, includes about $79 million that is restricted as to use by various regulations and agreements arising in the ordinary course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10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December 31, 2013, 47,890,905 shares of unissued common stock were authorized for issuance under our stock-based compensation plans. Additionally, 3,412,508 shares are authorized for issuance under a plan whereby substantially all employees may acquire common stock through payroll deductions at prevailing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2013.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Weighted-average</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remaining</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average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contractual</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exercise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term in</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price</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2012</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34,622,435</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48.82</w:t>
            </w: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3,559,375</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71.73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New hire and reload grants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22,714</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75.63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74.77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(5,773,052)</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43.65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(859,874)</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(5,040)</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73.19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31,574,958</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52.18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2013</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19,269,276</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47.48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Compensation and related costs includes a charge for stock option-based compensation expense of $79.5 million in 2011, $74.5 million in 2012, and $64.2 million in 2013.</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$123.5 million in 2011, $239.6 million in 2012, and $182.6 million in 2013. At December 31, 2013, the aggregate intrinsic value of in-the-money options outstanding was $997.5 million, including $699.3 million related to options exercisable.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125" w:right="239" w:bottom="1440" w:gutter="0" w:footer="0" w:header="0"/>
        </w:sectPr>
      </w:pPr>
    </w:p>
    <w:bookmarkStart w:id="49" w:name="page50"/>
    <w:bookmarkEnd w:id="49"/>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Restricted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Weighted-</w:t>
            </w:r>
          </w:p>
        </w:tc>
      </w:tr>
      <w:tr>
        <w:trPr>
          <w:trHeight w:val="216"/>
        </w:trPr>
        <w:tc>
          <w:tcPr>
            <w:tcW w:w="6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Restricted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stock</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6"/>
              </w:rPr>
              <w:t>average</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5"/>
              </w:rPr>
              <w:t>fair value</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December 31, 2012</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1,161,164</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597,042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59.13</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non-employee directors - time based</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1,101,556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398,448</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 to employees - performance based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62,250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71.70</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(value at vest date was $40.5 million)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(328,048)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(183,722)</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(81,586)</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(50,425)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61.38</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1,877,086</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823,593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nonvested at December 31, 2013 includes 43,200 performance-based restricted shares and 118,950 performance-based restricted stock units. These nonvested performance-based restricted shares and units include 19,200 shares and 56,700 units for which the performance period has lapsed and the performance threshold has been met.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$19.2 million in 2011, $29.6 million in 2012, and $50.4 million in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2013, non-employee directors held 35,470 vested stock units that will convert to common shares upon their separation from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compensation awards outstanding at December 31, 2013. Estimated future compensation expense will change to reflect future option grants, including future awards of unrestricted shares, 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quarter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2014</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2014</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2015 through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025" w:hanging="1025"/>
        <w:spacing w:after="0"/>
        <w:tabs>
          <w:tab w:leader="none" w:pos="10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27.6</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27.4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27.5</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23.5</w:t>
      </w:r>
    </w:p>
    <w:p>
      <w:pPr>
        <w:spacing w:after="0" w:line="1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106.0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110.5</w:t>
      </w:r>
    </w:p>
    <w:p>
      <w:pPr>
        <w:spacing w:after="0" w:line="77" w:lineRule="exact"/>
        <w:rPr>
          <w:sz w:val="20"/>
          <w:szCs w:val="20"/>
          <w:color w:val="auto"/>
        </w:rPr>
      </w:pPr>
    </w:p>
    <w:p>
      <w:pPr>
        <w:ind w:left="925" w:hanging="925"/>
        <w:spacing w:after="0"/>
        <w:tabs>
          <w:tab w:leader="none" w:pos="9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216.5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11 – EARNINGS PER SHARE CALCULATIONS.</w:t>
      </w:r>
    </w:p>
    <w:p>
      <w:pPr>
        <w:spacing w:after="0" w:line="225" w:lineRule="exact"/>
        <w:rPr>
          <w:sz w:val="20"/>
          <w:szCs w:val="20"/>
          <w:color w:val="auto"/>
        </w:rPr>
      </w:pPr>
    </w:p>
    <w:p>
      <w:pPr>
        <w:jc w:val="both"/>
        <w:ind w:right="40" w:firstLine="42"/>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773.2</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883.6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1,047.7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share and stock unit holders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769.7</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878.1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1,038.4</w:t>
            </w:r>
          </w:p>
        </w:tc>
      </w:tr>
      <w:tr>
        <w:trPr>
          <w:trHeight w:val="311"/>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9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255.6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263.3</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261.0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64"/>
        </w:trPr>
        <w:tc>
          <w:tcPr>
            <w:tcW w:w="7780" w:type="dxa"/>
            <w:vAlign w:val="bottom"/>
            <w:gridSpan w:val="2"/>
          </w:tcPr>
          <w:p>
            <w:pPr>
              <w:jc w:val="right"/>
              <w:ind w:right="3770"/>
              <w:spacing w:after="0"/>
              <w:rPr>
                <w:sz w:val="20"/>
                <w:szCs w:val="20"/>
                <w:color w:val="auto"/>
              </w:rPr>
            </w:pPr>
            <w:r>
              <w:rPr>
                <w:rFonts w:ascii="Arial" w:cs="Arial" w:eastAsia="Arial" w:hAnsi="Arial"/>
                <w:sz w:val="18"/>
                <w:szCs w:val="18"/>
                <w:color w:val="auto"/>
                <w:w w:val="90"/>
              </w:rPr>
              <w:t>Weighted-average outstanding stock options excluded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benefits (income taxes) impact of the components (in millions) of other comprehensive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unrealized holding gains or losses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r>
      <w:tr>
        <w:trPr>
          <w:trHeight w:val="243"/>
        </w:trPr>
        <w:tc>
          <w:tcPr>
            <w:tcW w:w="6740" w:type="dxa"/>
            <w:vAlign w:val="bottom"/>
          </w:tcPr>
          <w:p>
            <w:pPr>
              <w:ind w:left="540"/>
              <w:spacing w:after="0"/>
              <w:rPr>
                <w:sz w:val="20"/>
                <w:szCs w:val="20"/>
                <w:color w:val="auto"/>
              </w:rPr>
            </w:pPr>
            <w:r>
              <w:rPr>
                <w:rFonts w:ascii="Arial" w:cs="Arial" w:eastAsia="Arial" w:hAnsi="Arial"/>
                <w:sz w:val="18"/>
                <w:szCs w:val="18"/>
                <w:color w:val="auto"/>
              </w:rPr>
              <w:t>Reclassification adjustment related to capital gain distributions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Reclassification adjustment on net gains or losses realized on dispositions in non-</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investment income</w:t>
            </w: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29"/>
        </w:trPr>
        <w:tc>
          <w:tcPr>
            <w:tcW w:w="6740" w:type="dxa"/>
            <w:vAlign w:val="bottom"/>
          </w:tcPr>
          <w:p>
            <w:pPr>
              <w:ind w:left="540"/>
              <w:spacing w:after="0"/>
              <w:rPr>
                <w:sz w:val="20"/>
                <w:szCs w:val="20"/>
                <w:color w:val="auto"/>
              </w:rPr>
            </w:pPr>
            <w:r>
              <w:rPr>
                <w:rFonts w:ascii="Arial" w:cs="Arial" w:eastAsia="Arial" w:hAnsi="Arial"/>
                <w:sz w:val="18"/>
                <w:szCs w:val="18"/>
                <w:color w:val="auto"/>
                <w:w w:val="93"/>
              </w:rPr>
              <w:t>Reclassification adjustment for net unrealized holding gains derecognized upon the</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tcPr>
          <w:p>
            <w:pPr>
              <w:ind w:left="540"/>
              <w:spacing w:after="0"/>
              <w:rPr>
                <w:sz w:val="20"/>
                <w:szCs w:val="20"/>
                <w:color w:val="auto"/>
              </w:rPr>
            </w:pPr>
            <w:r>
              <w:rPr>
                <w:rFonts w:ascii="Arial" w:cs="Arial" w:eastAsia="Arial" w:hAnsi="Arial"/>
                <w:sz w:val="18"/>
                <w:szCs w:val="18"/>
                <w:color w:val="auto"/>
              </w:rPr>
              <w:t>sale of savings bank subsidiary</w:t>
            </w:r>
          </w:p>
        </w:tc>
        <w:tc>
          <w:tcPr>
            <w:tcW w:w="10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in other comprehensive income</w:t>
            </w: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benefits on currency translation adjustments</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benefits (income taxes)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125" w:right="239" w:bottom="1440" w:gutter="0" w:footer="0" w:header="0"/>
        </w:sectPr>
      </w:pPr>
    </w:p>
    <w:bookmarkStart w:id="51" w:name="page52"/>
    <w:bookmarkEnd w:id="51"/>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(in millions), by component, for each year ended December 31 are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color w:val="auto"/>
                <w:w w:val="91"/>
              </w:rPr>
              <w:t>Other</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Other</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Other</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49"/>
        </w:trPr>
        <w:tc>
          <w:tcPr>
            <w:tcW w:w="3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comprehensive loss,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comprehensive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comprehensive</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94"/>
        </w:trPr>
        <w:tc>
          <w:tcPr>
            <w:tcW w:w="3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3"/>
              </w:rPr>
              <w:t>net of tax</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income, net of tax</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income, net of tax</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2013</w:t>
            </w: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color w:val="auto"/>
              </w:rPr>
              <w:t>Net unrealized holding gains on</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6"/>
        </w:trPr>
        <w:tc>
          <w:tcPr>
            <w:tcW w:w="37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Investments in sponsored funds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353.2</w:t>
            </w:r>
          </w:p>
        </w:tc>
      </w:tr>
      <w:tr>
        <w:trPr>
          <w:trHeight w:val="264"/>
        </w:trPr>
        <w:tc>
          <w:tcPr>
            <w:tcW w:w="3780" w:type="dxa"/>
            <w:vAlign w:val="bottom"/>
          </w:tcPr>
          <w:p>
            <w:pPr>
              <w:ind w:left="540"/>
              <w:spacing w:after="0"/>
              <w:rPr>
                <w:sz w:val="20"/>
                <w:szCs w:val="20"/>
                <w:color w:val="auto"/>
              </w:rPr>
            </w:pPr>
            <w:r>
              <w:rPr>
                <w:rFonts w:ascii="Arial" w:cs="Arial" w:eastAsia="Arial" w:hAnsi="Arial"/>
                <w:sz w:val="14"/>
                <w:szCs w:val="14"/>
                <w:color w:val="auto"/>
              </w:rPr>
              <w:t>Debt securities held by savings bank subsidiary</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7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Proportionate share of investments held by UTI</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37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221.0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236.1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353.8</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w:t>
            </w:r>
          </w:p>
        </w:tc>
      </w:tr>
      <w:tr>
        <w:trPr>
          <w:trHeight w:val="250"/>
        </w:trPr>
        <w:tc>
          <w:tcPr>
            <w:tcW w:w="3780" w:type="dxa"/>
            <w:vAlign w:val="bottom"/>
          </w:tcPr>
          <w:p>
            <w:pPr>
              <w:ind w:left="40"/>
              <w:spacing w:after="0"/>
              <w:rPr>
                <w:sz w:val="20"/>
                <w:szCs w:val="20"/>
                <w:color w:val="auto"/>
              </w:rPr>
            </w:pPr>
            <w:r>
              <w:rPr>
                <w:rFonts w:ascii="Arial" w:cs="Arial" w:eastAsia="Arial" w:hAnsi="Arial"/>
                <w:sz w:val="14"/>
                <w:szCs w:val="14"/>
                <w:color w:val="auto"/>
              </w:rPr>
              <w:t>Net unrealized holding gains, net of taxes</w:t>
            </w:r>
          </w:p>
        </w:tc>
        <w:tc>
          <w:tcPr>
            <w:tcW w:w="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216.3</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 net of taxes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243"/>
        </w:trPr>
        <w:tc>
          <w:tcPr>
            <w:tcW w:w="3780" w:type="dxa"/>
            <w:vAlign w:val="bottom"/>
          </w:tcPr>
          <w:p>
            <w:pPr>
              <w:ind w:left="4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188.3</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Other comprehensive income, net of tax, attributable to the net unrealized holding gains on our sponsored fund investments reflects net gains of $5.3 million in 2011, $39.8 million in 2012 and $28.8 million in 2013 that were reclassified to non-operating investment income upon the receipt of capital gain distributions as well as upon the sale of individual securities in 2012 and 2013. The income taxes related to these reclassifications were $2.1 million in 2011, $15.4 million in 2012 and $11.3 million in 2013 and were reclassified from accumulated other comprehensive income into our provision for income taxes. In 2013, following the sale of our savings bank subsidiary, we derecognized and reclassified $1.0 million in unrealized holding gains, including deferred taxes of $.6 million, related to the bank's debt security portfolio to non-operating investment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13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$54.5 million in 2011, $58.2 million in 2012, and $61.8 million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14 – SUPPLEMENTARY QUARTERLY FINANCIAL DATA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Basic earnings on</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Diluted earnings on</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Net revenues</w:t>
            </w: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4"/>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common stock</w:t>
            </w: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13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3"/>
          </w:tcPr>
          <w:p>
            <w:pPr>
              <w:jc w:val="right"/>
              <w:ind w:right="1330"/>
              <w:spacing w:after="0"/>
              <w:rPr>
                <w:sz w:val="20"/>
                <w:szCs w:val="20"/>
                <w:color w:val="auto"/>
              </w:rPr>
            </w:pPr>
            <w:r>
              <w:rPr>
                <w:rFonts w:ascii="Arial" w:cs="Arial" w:eastAsia="Arial" w:hAnsi="Arial"/>
                <w:sz w:val="18"/>
                <w:szCs w:val="18"/>
                <w:color w:val="auto"/>
              </w:rPr>
              <w:t>(per-share)</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2012</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728.7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736.8</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769.7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2013</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815.7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884.4</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3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929.8</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51</w:t>
      </w:r>
    </w:p>
    <w:p>
      <w:pPr>
        <w:sectPr>
          <w:pgSz w:w="11900" w:h="16838" w:orient="portrait"/>
          <w:cols w:equalWidth="0" w:num="1">
            <w:col w:w="11420"/>
          </w:cols>
          <w:pgMar w:left="240" w:top="125" w:right="239" w:bottom="1440" w:gutter="0" w:footer="0" w:header="0"/>
          <w:type w:val="continuous"/>
        </w:sectPr>
      </w:pPr>
    </w:p>
    <w:bookmarkStart w:id="52" w:name="page53"/>
    <w:bookmarkEnd w:id="52"/>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2013 and 2012, and the related consolidated statements of income, comprehensive income, stockholders’ equity, and cash flows for each of the years in the three-year period ended December 31, 2013.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2013 and 2012, and the results of their operations and their cash flows for each of the years in the three-year period ended December 31, 2013, in conformity with U.S. generally accepted accounting principles.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2013,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4, 2014,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380"/>
          </w:cols>
          <w:pgMar w:left="240" w:top="125" w:right="279" w:bottom="1440" w:gutter="0" w:footer="0" w:header="0"/>
        </w:sectPr>
      </w:pPr>
    </w:p>
    <w:bookmarkStart w:id="53" w:name="page54"/>
    <w:bookmarkEnd w:id="53"/>
    <w:p>
      <w:pPr>
        <w:jc w:val="center"/>
        <w:ind w:right="362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2013. Based on that evaluation, our principal executive and principal financial officers have concluded that our disclosure controls and procedures as of December 31, 2013,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2013, and has concluded that there was no change during the fourth quarter of 2013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380"/>
          </w:cols>
          <w:pgMar w:left="240" w:top="125" w:right="279" w:bottom="1440" w:gutter="0" w:footer="0" w:header="0"/>
        </w:sectPr>
      </w:pPr>
    </w:p>
    <w:bookmarkStart w:id="54" w:name="page55"/>
    <w:bookmarkEnd w:id="54"/>
    <w:p>
      <w:pPr>
        <w:jc w:val="center"/>
        <w:ind w:right="36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Inc.,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2013,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2013.</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2013.</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00"/>
          </w:cols>
          <w:pgMar w:left="240" w:top="125" w:right="259" w:bottom="1440" w:gutter="0" w:footer="0" w:header="0"/>
        </w:sectPr>
      </w:pPr>
    </w:p>
    <w:bookmarkStart w:id="55" w:name="page56"/>
    <w:bookmarkEnd w:id="55"/>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2013,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2013,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2013 and 2012, and the related consolidated statements of income, comprehensive income, stockholders’ equity, and cash flows for each of the years in the three-year period ended December 31, 2013, and our report dated February 4, 2014,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380"/>
          </w:cols>
          <w:pgMar w:left="240" w:top="125" w:right="279" w:bottom="1440" w:gutter="0" w:footer="0" w:header="0"/>
        </w:sectPr>
      </w:pPr>
    </w:p>
    <w:bookmarkStart w:id="56" w:name="page57"/>
    <w:bookmarkEnd w:id="56"/>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2014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required by these items are incorporated by reference from the definitive proxy statement required to be filed pursuant to Regulation 14A for the 2014 Annual Meeting of our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620" w:hanging="585"/>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4" w:lineRule="exact"/>
        <w:rPr>
          <w:rFonts w:ascii="Arial" w:cs="Arial" w:eastAsia="Arial" w:hAnsi="Arial"/>
          <w:sz w:val="18"/>
          <w:szCs w:val="18"/>
          <w:color w:val="auto"/>
        </w:rPr>
      </w:pPr>
    </w:p>
    <w:p>
      <w:pPr>
        <w:ind w:left="620" w:right="360" w:hanging="585"/>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10.07 through 10.18.4.</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w:t>
            </w:r>
          </w:p>
        </w:tc>
        <w:tc>
          <w:tcPr>
            <w:tcW w:w="9640" w:type="dxa"/>
            <w:vAlign w:val="bottom"/>
          </w:tcPr>
          <w:p>
            <w:pPr>
              <w:ind w:left="580"/>
              <w:spacing w:after="0"/>
              <w:rPr>
                <w:sz w:val="20"/>
                <w:szCs w:val="20"/>
                <w:color w:val="auto"/>
              </w:rPr>
            </w:pPr>
            <w:r>
              <w:rPr>
                <w:rFonts w:ascii="Arial" w:cs="Arial" w:eastAsia="Arial" w:hAnsi="Arial"/>
                <w:sz w:val="18"/>
                <w:szCs w:val="18"/>
                <w:color w:val="auto"/>
                <w:w w:val="98"/>
              </w:rPr>
              <w:t>Charter of T. Rowe Price Group, Inc., as Amended by Articles of Amendment dated April 10, 2008. (Incorporated by</w:t>
            </w:r>
          </w:p>
        </w:tc>
      </w:tr>
      <w:tr>
        <w:trPr>
          <w:trHeight w:val="216"/>
        </w:trPr>
        <w:tc>
          <w:tcPr>
            <w:tcW w:w="1120" w:type="dxa"/>
            <w:vAlign w:val="bottom"/>
          </w:tcPr>
          <w:p>
            <w:pPr>
              <w:spacing w:after="0"/>
              <w:rPr>
                <w:sz w:val="18"/>
                <w:szCs w:val="18"/>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w w:val="97"/>
              </w:rPr>
              <w:t>reference from Form 10-Q Report for the quarterly period ended March 31, 2008 filed on April 24, 2008; File No. 033-</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9640" w:type="dxa"/>
            <w:vAlign w:val="bottom"/>
          </w:tcPr>
          <w:p>
            <w:pPr>
              <w:ind w:left="580"/>
              <w:spacing w:after="0"/>
              <w:rPr>
                <w:sz w:val="20"/>
                <w:szCs w:val="20"/>
                <w:color w:val="auto"/>
              </w:rPr>
            </w:pPr>
            <w:r>
              <w:rPr>
                <w:rFonts w:ascii="Arial" w:cs="Arial" w:eastAsia="Arial" w:hAnsi="Arial"/>
                <w:sz w:val="18"/>
                <w:szCs w:val="18"/>
                <w:color w:val="auto"/>
                <w:w w:val="94"/>
              </w:rPr>
              <w:t>Amended and Restated By-Laws of T. Rowe Price Group, Inc. as of February 12, 2009. (Incorporated by reference from</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Form 8-K Current Report as of February 17,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10.01.1</w:t>
            </w:r>
          </w:p>
        </w:tc>
        <w:tc>
          <w:tcPr>
            <w:tcW w:w="9640" w:type="dxa"/>
            <w:vAlign w:val="bottom"/>
          </w:tcPr>
          <w:p>
            <w:pPr>
              <w:ind w:left="580"/>
              <w:spacing w:after="0"/>
              <w:rPr>
                <w:sz w:val="20"/>
                <w:szCs w:val="20"/>
                <w:color w:val="auto"/>
              </w:rPr>
            </w:pPr>
            <w:r>
              <w:rPr>
                <w:rFonts w:ascii="Arial" w:cs="Arial" w:eastAsia="Arial" w:hAnsi="Arial"/>
                <w:sz w:val="18"/>
                <w:szCs w:val="18"/>
                <w:color w:val="auto"/>
                <w:w w:val="89"/>
              </w:rPr>
              <w:t>Representative Investment Management Agreement for the T. Rowe Price mutual funds that pay a management fee consisting</w:t>
            </w:r>
          </w:p>
        </w:tc>
      </w:tr>
      <w:tr>
        <w:trPr>
          <w:trHeight w:val="216"/>
        </w:trPr>
        <w:tc>
          <w:tcPr>
            <w:tcW w:w="1120" w:type="dxa"/>
            <w:vAlign w:val="bottom"/>
          </w:tcPr>
          <w:p>
            <w:pPr>
              <w:spacing w:after="0"/>
              <w:rPr>
                <w:sz w:val="18"/>
                <w:szCs w:val="18"/>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w w:val="92"/>
              </w:rPr>
              <w:t>of two components - a group management fee and individual management fee. (Incorporated by reference from Form N-1A</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filed on August 22, 2008; File No. 333-153130.)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10.01.2</w:t>
            </w:r>
          </w:p>
        </w:tc>
        <w:tc>
          <w:tcPr>
            <w:tcW w:w="9640" w:type="dxa"/>
            <w:vAlign w:val="bottom"/>
          </w:tcPr>
          <w:p>
            <w:pPr>
              <w:ind w:left="580"/>
              <w:spacing w:after="0"/>
              <w:rPr>
                <w:sz w:val="20"/>
                <w:szCs w:val="20"/>
                <w:color w:val="auto"/>
              </w:rPr>
            </w:pPr>
            <w:r>
              <w:rPr>
                <w:rFonts w:ascii="Arial" w:cs="Arial" w:eastAsia="Arial" w:hAnsi="Arial"/>
                <w:sz w:val="18"/>
                <w:szCs w:val="18"/>
                <w:color w:val="auto"/>
                <w:w w:val="91"/>
              </w:rPr>
              <w:t>Representative Investment Management Agreement for the T. Rowe Price mutual funds that pay an individual management</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fee. (Incorporated by reference from Form 485APOS filed on August 11, 2010;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10.01.3</w:t>
            </w:r>
          </w:p>
        </w:tc>
        <w:tc>
          <w:tcPr>
            <w:tcW w:w="9640" w:type="dxa"/>
            <w:vAlign w:val="bottom"/>
          </w:tcPr>
          <w:p>
            <w:pPr>
              <w:ind w:left="580"/>
              <w:spacing w:after="0"/>
              <w:rPr>
                <w:sz w:val="20"/>
                <w:szCs w:val="20"/>
                <w:color w:val="auto"/>
              </w:rPr>
            </w:pPr>
            <w:r>
              <w:rPr>
                <w:rFonts w:ascii="Arial" w:cs="Arial" w:eastAsia="Arial" w:hAnsi="Arial"/>
                <w:sz w:val="18"/>
                <w:szCs w:val="18"/>
                <w:color w:val="auto"/>
                <w:w w:val="92"/>
              </w:rPr>
              <w:t>Representative Investment Management Agreement for the T. Rowe Price mutual funds that pay an all-inclusive fee (i.e., a</w:t>
            </w:r>
          </w:p>
        </w:tc>
      </w:tr>
      <w:tr>
        <w:trPr>
          <w:trHeight w:val="216"/>
        </w:trPr>
        <w:tc>
          <w:tcPr>
            <w:tcW w:w="1120" w:type="dxa"/>
            <w:vAlign w:val="bottom"/>
          </w:tcPr>
          <w:p>
            <w:pPr>
              <w:spacing w:after="0"/>
              <w:rPr>
                <w:sz w:val="18"/>
                <w:szCs w:val="18"/>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w w:val="91"/>
              </w:rPr>
              <w:t>single fee that covers investment management and ordinary recurring operating expenses). (Incorporated by reference from</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Form 485APOS filed on March 15, 2007;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10.02</w:t>
            </w:r>
          </w:p>
        </w:tc>
        <w:tc>
          <w:tcPr>
            <w:tcW w:w="9640" w:type="dxa"/>
            <w:vAlign w:val="bottom"/>
          </w:tcPr>
          <w:p>
            <w:pPr>
              <w:ind w:left="580"/>
              <w:spacing w:after="0"/>
              <w:rPr>
                <w:sz w:val="20"/>
                <w:szCs w:val="20"/>
                <w:color w:val="auto"/>
              </w:rPr>
            </w:pPr>
            <w:r>
              <w:rPr>
                <w:rFonts w:ascii="Arial" w:cs="Arial" w:eastAsia="Arial" w:hAnsi="Arial"/>
                <w:sz w:val="18"/>
                <w:szCs w:val="18"/>
                <w:color w:val="auto"/>
                <w:w w:val="91"/>
              </w:rPr>
              <w:t>Representative Underwriting Agreement between a T. Rowe Price mutual fund and T. Rowe Price Investment Services, Inc.</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(Incorporated by reference from Form N-1A/A filed on August 29, 2006; File No. 333-136805.)</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9640" w:type="dxa"/>
            <w:vAlign w:val="bottom"/>
          </w:tcPr>
          <w:p>
            <w:pPr>
              <w:ind w:left="580"/>
              <w:spacing w:after="0"/>
              <w:rPr>
                <w:sz w:val="20"/>
                <w:szCs w:val="20"/>
                <w:color w:val="auto"/>
              </w:rPr>
            </w:pPr>
            <w:r>
              <w:rPr>
                <w:rFonts w:ascii="Arial" w:cs="Arial" w:eastAsia="Arial" w:hAnsi="Arial"/>
                <w:sz w:val="18"/>
                <w:szCs w:val="18"/>
                <w:color w:val="auto"/>
                <w:w w:val="90"/>
              </w:rPr>
              <w:t>Transfer Agency and Service Agreement as of January 1, 2013, between T. Rowe Price Services, Inc. and the T. Rowe Price</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26, 2013; File No. 033-38791.)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9640" w:type="dxa"/>
            <w:vAlign w:val="bottom"/>
          </w:tcPr>
          <w:p>
            <w:pPr>
              <w:ind w:left="580"/>
              <w:spacing w:after="0"/>
              <w:rPr>
                <w:sz w:val="20"/>
                <w:szCs w:val="20"/>
                <w:color w:val="auto"/>
              </w:rPr>
            </w:pPr>
            <w:r>
              <w:rPr>
                <w:rFonts w:ascii="Arial" w:cs="Arial" w:eastAsia="Arial" w:hAnsi="Arial"/>
                <w:sz w:val="18"/>
                <w:szCs w:val="18"/>
                <w:color w:val="auto"/>
                <w:w w:val="93"/>
              </w:rPr>
              <w:t>Agreement as of January 1, 2013, between T. Rowe Price Retirement Plan Services, Inc. and certain of the T. Rowe Price</w:t>
            </w:r>
          </w:p>
        </w:tc>
      </w:tr>
      <w:tr>
        <w:trPr>
          <w:trHeight w:val="230"/>
        </w:trPr>
        <w:tc>
          <w:tcPr>
            <w:tcW w:w="1120" w:type="dxa"/>
            <w:vAlign w:val="bottom"/>
          </w:tcPr>
          <w:p>
            <w:pPr>
              <w:spacing w:after="0"/>
              <w:rPr>
                <w:sz w:val="20"/>
                <w:szCs w:val="20"/>
                <w:color w:val="auto"/>
              </w:rPr>
            </w:pPr>
          </w:p>
        </w:tc>
        <w:tc>
          <w:tcPr>
            <w:tcW w:w="964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26, 2013; File No. 033-38791.)</w:t>
            </w:r>
          </w:p>
        </w:tc>
      </w:tr>
    </w:tbl>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380"/>
          </w:cols>
          <w:pgMar w:left="240" w:top="125"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140" w:type="dxa"/>
            <w:vAlign w:val="bottom"/>
            <w:gridSpan w:val="2"/>
          </w:tcPr>
          <w:p>
            <w:pPr>
              <w:spacing w:after="0"/>
              <w:rPr>
                <w:rFonts w:ascii="Arial" w:cs="Arial" w:eastAsia="Arial" w:hAnsi="Arial"/>
                <w:sz w:val="18"/>
                <w:szCs w:val="18"/>
                <w:color w:val="0000CC"/>
              </w:rPr>
            </w:pPr>
            <w:hyperlink w:anchor="page1">
              <w:r>
                <w:rPr>
                  <w:rFonts w:ascii="Arial" w:cs="Arial" w:eastAsia="Arial" w:hAnsi="Arial"/>
                  <w:sz w:val="18"/>
                  <w:szCs w:val="18"/>
                  <w:color w:val="0000CC"/>
                </w:rPr>
                <w:t>Table of Contents</w:t>
              </w:r>
            </w:hyperlink>
          </w:p>
        </w:tc>
      </w:tr>
      <w:tr>
        <w:trPr>
          <w:trHeight w:val="20"/>
        </w:trPr>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shd w:val="clear" w:color="auto" w:fill="0000CC"/>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627"/>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1"/>
              </w:rPr>
              <w:t>Fund Accounting Services Agreement as of January 1, 2013, between T. Rowe Price Associates, Inc. and the T. Rowe Price</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Funds. (Incorporated by reference from Form 485BPOS filed on April 26, 2013; File No. 033-38791.)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10.07</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8"/>
              </w:rPr>
              <w:t>1998 Director Stock Option Plan, as Amended and Restated effective December 16, 2004, including forms of option</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agreements. (Incorporated by reference from Form 10-K for 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10.08</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Statements of additional terms and conditions for awards granted under the Amended and Restated 2007 Non-Employee</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Director Equity Plans after February 12, 2009. (Incorporated by reference from Form 10-Q for the quarterly period ended</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10.08.1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Amended and Restated 2007 Non-Employee Director Equity Plan. (Incorporated by reference from Form10-K for 2012 filed</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on February 4, 2013;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T. Rowe Price Group, Inc. Outside Directors Deferred Compensation Plan. (Incorporated by reference from Form 10-K for</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2004 filed on March 1, 2005;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6"/>
              </w:rPr>
              <w:t>2001 Stock Incentive Plan. (Incorporated by reference from Form DEFR 14A filed on February 26, 2001; File No. 033-</w:t>
            </w:r>
          </w:p>
        </w:tc>
      </w:tr>
      <w:tr>
        <w:trPr>
          <w:trHeight w:val="230"/>
        </w:trPr>
        <w:tc>
          <w:tcPr>
            <w:tcW w:w="1120" w:type="dxa"/>
            <w:vAlign w:val="bottom"/>
          </w:tcPr>
          <w:p>
            <w:pPr>
              <w:spacing w:after="0"/>
              <w:rPr>
                <w:sz w:val="20"/>
                <w:szCs w:val="20"/>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First Amendment to 2001 Stock Incentive Plan dated April 8, 2004. (Incorporated by reference from Form DEF 14A filed on</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February 27, 2004;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10.13.3</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1"/>
              </w:rPr>
              <w:t>Second Amendment to 2001 Stock Incentive Plan dated December 12, 2008. (Incorporated by reference from Form 10-Q for</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the 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2004 Stock Incentive Plan. (Incorporated by reference from Form 10-K for 2007 filed on February 7, 2008; File No. 033-</w:t>
            </w:r>
          </w:p>
        </w:tc>
      </w:tr>
      <w:tr>
        <w:trPr>
          <w:trHeight w:val="230"/>
        </w:trPr>
        <w:tc>
          <w:tcPr>
            <w:tcW w:w="1120" w:type="dxa"/>
            <w:vAlign w:val="bottom"/>
          </w:tcPr>
          <w:p>
            <w:pPr>
              <w:spacing w:after="0"/>
              <w:rPr>
                <w:sz w:val="20"/>
                <w:szCs w:val="20"/>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HM Revenue and Customs Approved Sub-Plan for UK Employees under the 2004 Stock Incentive Plan. (Incorporated by</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10.14.3</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2004 Stock Incentive Plan dated December 12, 2008. (Incorporated by reference from Form 10-Q for the</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quarterly period ended March 31, 2009 filed on April 22,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agreements available for stock-based awards issued under the 2001 and 2004 Stock Incentive Plans. (Incorporated</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by reference from Form 10-Q for the quarterly period ended June 30, 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3"/>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under the 2004 Stock Incentive Plan. (Incorporated by reference from Form 10-Q for the quarterly period ended June 30,</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2010 filed on July 23,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for stock options issued after February 2, 2012 under the 2004 Stock Incentive Plan. (Incorporated by</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reference from Form 10-Q for the quarterly period ended June 30, 2012 filed on July 25, 2012;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10.15.3</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Forms of agreement for restricted stock units issued after February 2, 2012 under the 2004 Stock Incentive Plan.</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(Incorporated by reference from Form 10-Q for the quarterly period ended June 30, 2012 filed on July 25, 2012; File No.</w:t>
            </w:r>
          </w:p>
        </w:tc>
      </w:tr>
      <w:tr>
        <w:trPr>
          <w:trHeight w:val="230"/>
        </w:trPr>
        <w:tc>
          <w:tcPr>
            <w:tcW w:w="1120" w:type="dxa"/>
            <w:vAlign w:val="bottom"/>
          </w:tcPr>
          <w:p>
            <w:pPr>
              <w:spacing w:after="0"/>
              <w:rPr>
                <w:sz w:val="20"/>
                <w:szCs w:val="20"/>
                <w:color w:val="auto"/>
              </w:rPr>
            </w:pPr>
          </w:p>
        </w:tc>
        <w:tc>
          <w:tcPr>
            <w:tcW w:w="2780" w:type="dxa"/>
            <w:vAlign w:val="bottom"/>
            <w:gridSpan w:val="2"/>
          </w:tcPr>
          <w:p>
            <w:pPr>
              <w:ind w:left="580"/>
              <w:spacing w:after="0"/>
              <w:rPr>
                <w:sz w:val="20"/>
                <w:szCs w:val="20"/>
                <w:color w:val="auto"/>
              </w:rPr>
            </w:pPr>
            <w:r>
              <w:rPr>
                <w:rFonts w:ascii="Arial" w:cs="Arial" w:eastAsia="Arial" w:hAnsi="Arial"/>
                <w:sz w:val="18"/>
                <w:szCs w:val="18"/>
                <w:color w:val="auto"/>
              </w:rPr>
              <w:t>033-07012-99.)</w:t>
            </w:r>
          </w:p>
        </w:tc>
        <w:tc>
          <w:tcPr>
            <w:tcW w:w="686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10.15.4</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8"/>
              </w:rPr>
              <w:t>Forms of agreement for restricted stock awards issued after February 2, 2012 under the 2004 Stock Incentive Plan.</w:t>
            </w:r>
          </w:p>
        </w:tc>
      </w:tr>
      <w:tr>
        <w:trPr>
          <w:trHeight w:val="216"/>
        </w:trPr>
        <w:tc>
          <w:tcPr>
            <w:tcW w:w="1120" w:type="dxa"/>
            <w:vAlign w:val="bottom"/>
          </w:tcPr>
          <w:p>
            <w:pPr>
              <w:spacing w:after="0"/>
              <w:rPr>
                <w:sz w:val="18"/>
                <w:szCs w:val="18"/>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4"/>
              </w:rPr>
              <w:t>(Incorporated by reference from Form 10-Q for the quarterly period ended June 30, 2012 filed on July 25, 2012; File No.</w:t>
            </w:r>
          </w:p>
        </w:tc>
      </w:tr>
      <w:tr>
        <w:trPr>
          <w:trHeight w:val="230"/>
        </w:trPr>
        <w:tc>
          <w:tcPr>
            <w:tcW w:w="1120" w:type="dxa"/>
            <w:vAlign w:val="bottom"/>
          </w:tcPr>
          <w:p>
            <w:pPr>
              <w:spacing w:after="0"/>
              <w:rPr>
                <w:sz w:val="20"/>
                <w:szCs w:val="20"/>
                <w:color w:val="auto"/>
              </w:rPr>
            </w:pPr>
          </w:p>
        </w:tc>
        <w:tc>
          <w:tcPr>
            <w:tcW w:w="2780" w:type="dxa"/>
            <w:vAlign w:val="bottom"/>
            <w:gridSpan w:val="2"/>
          </w:tcPr>
          <w:p>
            <w:pPr>
              <w:ind w:left="580"/>
              <w:spacing w:after="0"/>
              <w:rPr>
                <w:sz w:val="20"/>
                <w:szCs w:val="20"/>
                <w:color w:val="auto"/>
              </w:rPr>
            </w:pPr>
            <w:r>
              <w:rPr>
                <w:rFonts w:ascii="Arial" w:cs="Arial" w:eastAsia="Arial" w:hAnsi="Arial"/>
                <w:sz w:val="18"/>
                <w:szCs w:val="18"/>
                <w:color w:val="auto"/>
              </w:rPr>
              <w:t>033-07012-99.)</w:t>
            </w:r>
          </w:p>
        </w:tc>
        <w:tc>
          <w:tcPr>
            <w:tcW w:w="686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Annual Incentive Compensation Pool. (Incorporated by reference from Form DEF 14A filed on March 3, 2003; File No. 033-</w:t>
            </w:r>
          </w:p>
        </w:tc>
      </w:tr>
      <w:tr>
        <w:trPr>
          <w:trHeight w:val="230"/>
        </w:trPr>
        <w:tc>
          <w:tcPr>
            <w:tcW w:w="1120" w:type="dxa"/>
            <w:vAlign w:val="bottom"/>
          </w:tcPr>
          <w:p>
            <w:pPr>
              <w:spacing w:after="0"/>
              <w:rPr>
                <w:sz w:val="20"/>
                <w:szCs w:val="20"/>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07012-99.)</w:t>
            </w:r>
          </w:p>
        </w:tc>
        <w:tc>
          <w:tcPr>
            <w:tcW w:w="12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2"/>
              </w:rPr>
              <w:t>Policy for Recoupment of Incentive Compensation. (Incorporated by reference from Form 8-K Current Report as of April 14,</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2010 filed on April 16, 2010;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5"/>
              </w:rPr>
              <w:t>2012 Long-term Incentive Plan. (Incorporated by reference from Form 10-K for 2012 filed on February 4, 2013; File No.</w:t>
            </w:r>
          </w:p>
        </w:tc>
      </w:tr>
      <w:tr>
        <w:trPr>
          <w:trHeight w:val="230"/>
        </w:trPr>
        <w:tc>
          <w:tcPr>
            <w:tcW w:w="1120" w:type="dxa"/>
            <w:vAlign w:val="bottom"/>
          </w:tcPr>
          <w:p>
            <w:pPr>
              <w:spacing w:after="0"/>
              <w:rPr>
                <w:sz w:val="20"/>
                <w:szCs w:val="20"/>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w w:val="92"/>
              </w:rPr>
              <w:t>000-32191.)</w:t>
            </w:r>
          </w:p>
        </w:tc>
        <w:tc>
          <w:tcPr>
            <w:tcW w:w="128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10.18.2</w:t>
            </w: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w w:val="91"/>
              </w:rPr>
              <w:t>Forms of agreement for restricted stock awards issued under the 2012 Long-term Incentive Plan. (Incorporated by reference</w:t>
            </w:r>
          </w:p>
        </w:tc>
      </w:tr>
      <w:tr>
        <w:trPr>
          <w:trHeight w:val="230"/>
        </w:trPr>
        <w:tc>
          <w:tcPr>
            <w:tcW w:w="1120" w:type="dxa"/>
            <w:vAlign w:val="bottom"/>
          </w:tcPr>
          <w:p>
            <w:pPr>
              <w:spacing w:after="0"/>
              <w:rPr>
                <w:sz w:val="20"/>
                <w:szCs w:val="20"/>
                <w:color w:val="auto"/>
              </w:rPr>
            </w:pPr>
          </w:p>
        </w:tc>
        <w:tc>
          <w:tcPr>
            <w:tcW w:w="9640" w:type="dxa"/>
            <w:vAlign w:val="bottom"/>
            <w:gridSpan w:val="3"/>
          </w:tcPr>
          <w:p>
            <w:pPr>
              <w:ind w:left="58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bl>
    <w:p>
      <w:pPr>
        <w:spacing w:after="0" w:line="200" w:lineRule="exact"/>
        <w:rPr>
          <w:sz w:val="20"/>
          <w:szCs w:val="20"/>
          <w:color w:val="auto"/>
        </w:rPr>
      </w:pPr>
    </w:p>
    <w:p>
      <w:pPr>
        <w:sectPr>
          <w:pgSz w:w="11900" w:h="16838" w:orient="portrait"/>
          <w:cols w:equalWidth="0" w:num="1">
            <w:col w:w="10760"/>
          </w:cols>
          <w:pgMar w:left="860" w:top="108" w:right="279" w:bottom="1440" w:gutter="0" w:footer="0" w:header="0"/>
        </w:sectPr>
      </w:pPr>
    </w:p>
    <w:p>
      <w:pPr>
        <w:spacing w:after="0" w:line="393" w:lineRule="exact"/>
        <w:rPr>
          <w:sz w:val="20"/>
          <w:szCs w:val="20"/>
          <w:color w:val="auto"/>
        </w:rPr>
      </w:pPr>
    </w:p>
    <w:p>
      <w:pPr>
        <w:ind w:left="4800"/>
        <w:spacing w:after="0"/>
        <w:rPr>
          <w:sz w:val="20"/>
          <w:szCs w:val="20"/>
          <w:color w:val="auto"/>
        </w:rPr>
      </w:pPr>
      <w:r>
        <w:rPr>
          <w:rFonts w:ascii="Arial" w:cs="Arial" w:eastAsia="Arial" w:hAnsi="Arial"/>
          <w:sz w:val="15"/>
          <w:szCs w:val="15"/>
          <w:color w:val="auto"/>
        </w:rPr>
        <w:t>Page 57</w:t>
      </w:r>
    </w:p>
    <w:p>
      <w:pPr>
        <w:sectPr>
          <w:pgSz w:w="11900" w:h="16838" w:orient="portrait"/>
          <w:cols w:equalWidth="0" w:num="1">
            <w:col w:w="10760"/>
          </w:cols>
          <w:pgMar w:left="860" w:top="108" w:right="27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80" w:type="dxa"/>
            <w:vAlign w:val="bottom"/>
            <w:gridSpan w:val="2"/>
          </w:tcPr>
          <w:p>
            <w:pPr>
              <w:spacing w:after="0"/>
              <w:rPr>
                <w:rFonts w:ascii="Arial" w:cs="Arial" w:eastAsia="Arial" w:hAnsi="Arial"/>
                <w:sz w:val="18"/>
                <w:szCs w:val="18"/>
                <w:color w:val="0000CC"/>
              </w:rPr>
            </w:pPr>
            <w:hyperlink w:anchor="page1">
              <w:r>
                <w:rPr>
                  <w:rFonts w:ascii="Arial" w:cs="Arial" w:eastAsia="Arial" w:hAnsi="Arial"/>
                  <w:sz w:val="18"/>
                  <w:szCs w:val="18"/>
                  <w:color w:val="0000CC"/>
                </w:rPr>
                <w:t>Table of Contents</w:t>
              </w:r>
            </w:hyperlink>
          </w:p>
        </w:tc>
      </w:tr>
      <w:tr>
        <w:trPr>
          <w:trHeight w:val="20"/>
        </w:trPr>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shd w:val="clear" w:color="auto" w:fill="0000CC"/>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627"/>
        </w:trPr>
        <w:tc>
          <w:tcPr>
            <w:tcW w:w="1120" w:type="dxa"/>
            <w:vAlign w:val="bottom"/>
          </w:tcPr>
          <w:p>
            <w:pPr>
              <w:spacing w:after="0"/>
              <w:rPr>
                <w:sz w:val="20"/>
                <w:szCs w:val="20"/>
                <w:color w:val="auto"/>
              </w:rPr>
            </w:pPr>
            <w:r>
              <w:rPr>
                <w:rFonts w:ascii="Arial" w:cs="Arial" w:eastAsia="Arial" w:hAnsi="Arial"/>
                <w:sz w:val="18"/>
                <w:szCs w:val="18"/>
                <w:color w:val="auto"/>
              </w:rPr>
              <w:t>10.18.3</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2"/>
              </w:rPr>
              <w:t>Forms of agreement for restricted stock units issued under the 2012 Long-term Incentive Plan. (Incorporated by reference</w:t>
            </w:r>
          </w:p>
        </w:tc>
      </w:tr>
      <w:tr>
        <w:trPr>
          <w:trHeight w:val="230"/>
        </w:trPr>
        <w:tc>
          <w:tcPr>
            <w:tcW w:w="1120" w:type="dxa"/>
            <w:vAlign w:val="bottom"/>
          </w:tcPr>
          <w:p>
            <w:pPr>
              <w:spacing w:after="0"/>
              <w:rPr>
                <w:sz w:val="20"/>
                <w:szCs w:val="20"/>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10.18.4</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0"/>
              </w:rPr>
              <w:t>Forms of agreement of stock options issued under the 2012 Long-term Incentive Plan. (Incorporated by reference from Form</w:t>
            </w:r>
          </w:p>
        </w:tc>
      </w:tr>
      <w:tr>
        <w:trPr>
          <w:trHeight w:val="230"/>
        </w:trPr>
        <w:tc>
          <w:tcPr>
            <w:tcW w:w="1120" w:type="dxa"/>
            <w:vAlign w:val="bottom"/>
          </w:tcPr>
          <w:p>
            <w:pPr>
              <w:spacing w:after="0"/>
              <w:rPr>
                <w:sz w:val="20"/>
                <w:szCs w:val="20"/>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10-Q Report for the quarterly period ended June 30, 2012 filed on July 25, 2012; File No. 000-32191.)</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10.18.5</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1"/>
              </w:rPr>
              <w:t>HM Revenue and Customs Approved Sub-Plan for UK Employees under the 2012 Long-Term Incentive Plan. (Incorporated</w:t>
            </w:r>
          </w:p>
        </w:tc>
      </w:tr>
      <w:tr>
        <w:trPr>
          <w:trHeight w:val="216"/>
        </w:trPr>
        <w:tc>
          <w:tcPr>
            <w:tcW w:w="1120" w:type="dxa"/>
            <w:vAlign w:val="bottom"/>
          </w:tcPr>
          <w:p>
            <w:pPr>
              <w:spacing w:after="0"/>
              <w:rPr>
                <w:sz w:val="18"/>
                <w:szCs w:val="18"/>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4"/>
              </w:rPr>
              <w:t>by reference from Form 10-Q for the quarterly period ended March 31, 2013 filed on April 24, 2013; File No. 033-07012-</w:t>
            </w:r>
          </w:p>
        </w:tc>
      </w:tr>
      <w:tr>
        <w:trPr>
          <w:trHeight w:val="230"/>
        </w:trPr>
        <w:tc>
          <w:tcPr>
            <w:tcW w:w="1120" w:type="dxa"/>
            <w:vAlign w:val="bottom"/>
          </w:tcPr>
          <w:p>
            <w:pPr>
              <w:spacing w:after="0"/>
              <w:rPr>
                <w:sz w:val="20"/>
                <w:szCs w:val="20"/>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99.)</w:t>
            </w:r>
          </w:p>
        </w:tc>
        <w:tc>
          <w:tcPr>
            <w:tcW w:w="1280" w:type="dxa"/>
            <w:vAlign w:val="bottom"/>
          </w:tcPr>
          <w:p>
            <w:pPr>
              <w:spacing w:after="0"/>
              <w:rPr>
                <w:sz w:val="20"/>
                <w:szCs w:val="20"/>
                <w:color w:val="auto"/>
              </w:rPr>
            </w:pPr>
          </w:p>
        </w:tc>
        <w:tc>
          <w:tcPr>
            <w:tcW w:w="6800" w:type="dxa"/>
            <w:vAlign w:val="bottom"/>
          </w:tcPr>
          <w:p>
            <w:pPr>
              <w:spacing w:after="0"/>
              <w:rPr>
                <w:sz w:val="20"/>
                <w:szCs w:val="20"/>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10.18.6</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1"/>
              </w:rPr>
              <w:t>Forms of Agreement for Stock Options issued under the HM Revenue and Customs Approved Sub-Plan for UK Employees</w:t>
            </w:r>
          </w:p>
        </w:tc>
      </w:tr>
      <w:tr>
        <w:trPr>
          <w:trHeight w:val="216"/>
        </w:trPr>
        <w:tc>
          <w:tcPr>
            <w:tcW w:w="1120" w:type="dxa"/>
            <w:vAlign w:val="bottom"/>
          </w:tcPr>
          <w:p>
            <w:pPr>
              <w:spacing w:after="0"/>
              <w:rPr>
                <w:sz w:val="18"/>
                <w:szCs w:val="18"/>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1"/>
              </w:rPr>
              <w:t>under the 2012 Long-Term Incentive Plan. (Incorporated by reference from Form 10-Q for the quarterly period ended March</w:t>
            </w:r>
          </w:p>
        </w:tc>
      </w:tr>
      <w:tr>
        <w:trPr>
          <w:trHeight w:val="230"/>
        </w:trPr>
        <w:tc>
          <w:tcPr>
            <w:tcW w:w="1120" w:type="dxa"/>
            <w:vAlign w:val="bottom"/>
          </w:tcPr>
          <w:p>
            <w:pPr>
              <w:spacing w:after="0"/>
              <w:rPr>
                <w:sz w:val="20"/>
                <w:szCs w:val="20"/>
                <w:color w:val="auto"/>
              </w:rPr>
            </w:pP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31, 2013 filed on April 24, 2013; File No. 033-07012-99.)</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Subsidiaries of T. Rowe Price Group, Inc.</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580" w:type="dxa"/>
            <w:vAlign w:val="bottom"/>
            <w:gridSpan w:val="3"/>
          </w:tcPr>
          <w:p>
            <w:pPr>
              <w:ind w:left="580"/>
              <w:spacing w:after="0"/>
              <w:rPr>
                <w:sz w:val="20"/>
                <w:szCs w:val="20"/>
                <w:color w:val="auto"/>
              </w:rPr>
            </w:pPr>
            <w:r>
              <w:rPr>
                <w:rFonts w:ascii="Arial" w:cs="Arial" w:eastAsia="Arial" w:hAnsi="Arial"/>
                <w:sz w:val="18"/>
                <w:szCs w:val="18"/>
                <w:color w:val="auto"/>
                <w:w w:val="97"/>
              </w:rPr>
              <w:t>The following series of unaudited XBRL-formatted documents are collectively included herewith as Exhibit 101. The</w:t>
            </w:r>
          </w:p>
        </w:tc>
      </w:tr>
    </w:tbl>
    <w:p>
      <w:pPr>
        <w:ind w:left="1700"/>
        <w:spacing w:after="0" w:line="261" w:lineRule="auto"/>
        <w:rPr>
          <w:sz w:val="20"/>
          <w:szCs w:val="20"/>
          <w:color w:val="auto"/>
        </w:rPr>
      </w:pPr>
      <w:r>
        <w:rPr>
          <w:rFonts w:ascii="Arial" w:cs="Arial" w:eastAsia="Arial" w:hAnsi="Arial"/>
          <w:sz w:val="18"/>
          <w:szCs w:val="18"/>
          <w:color w:val="auto"/>
        </w:rPr>
        <w:t>financial information is extracted from T. Rowe Price Group’s consolidated financial statements and notes that are included in this Form 10-K Report.</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101.INS XBRL Instance Document (File name: trow-20131231.xml)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101.SCH XBRL Taxonomy Extension Schema Document (File name: trow-20131231.xsd)</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101.CAL XBRL Taxonomy Calculation Linkbase Document (File name: trow-20131231_cal.xml)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101.DEF XBRL Taxonomy Definition Linkbase Document (File name: trow-20131231_def.xml)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101.LAB XBRL Taxonomy Label Linkbase Document (File name: trow-20131231_lab.xml)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101.PRE XBRL Taxonomy Presentation Linkbase Document (File name: trow-20131231_pre.xml)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0780"/>
          </w:cols>
          <w:pgMar w:left="860" w:top="108" w:right="259" w:bottom="1440" w:gutter="0" w:footer="0" w:header="0"/>
        </w:sectPr>
      </w:pPr>
    </w:p>
    <w:bookmarkStart w:id="59" w:name="page60"/>
    <w:bookmarkEnd w:id="59"/>
    <w:p>
      <w:pPr>
        <w:ind w:left="3240"/>
        <w:spacing w:after="0"/>
        <w:rPr>
          <w:rFonts w:ascii="Arial" w:cs="Arial" w:eastAsia="Arial" w:hAnsi="Arial"/>
          <w:sz w:val="18"/>
          <w:szCs w:val="18"/>
          <w:u w:val="single" w:color="auto"/>
          <w:color w:val="0000CC"/>
        </w:rPr>
      </w:pPr>
      <w:hyperlink w:anchor="page1">
        <w:r>
          <w:rPr>
            <w:rFonts w:ascii="Arial" w:cs="Arial" w:eastAsia="Arial" w:hAnsi="Arial"/>
            <w:sz w:val="18"/>
            <w:szCs w:val="18"/>
            <w:u w:val="single" w:color="auto"/>
            <w:color w:val="0000CC"/>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4,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4,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225" w:lineRule="exact"/>
        <w:rPr>
          <w:sz w:val="20"/>
          <w:szCs w:val="20"/>
          <w:color w:val="auto"/>
        </w:rPr>
      </w:pPr>
    </w:p>
    <w:p>
      <w:pPr>
        <w:ind w:right="5600"/>
        <w:spacing w:after="0" w:line="624" w:lineRule="auto"/>
        <w:rPr>
          <w:sz w:val="20"/>
          <w:szCs w:val="20"/>
          <w:color w:val="auto"/>
        </w:rPr>
      </w:pPr>
      <w:r>
        <w:rPr>
          <w:rFonts w:ascii="Arial" w:cs="Arial" w:eastAsia="Arial" w:hAnsi="Arial"/>
          <w:sz w:val="16"/>
          <w:szCs w:val="16"/>
          <w:color w:val="auto"/>
        </w:rPr>
        <w:t>/s/ Kenneth V. Moreland, Vice President, Chief Financial Officer and Treasurer /s/ Jessica M. Hiebler, Vice President and Principal Accounting Officer</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300"/>
          </w:cols>
          <w:pgMar w:left="240" w:top="125"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680" w:type="dxa"/>
            <w:vAlign w:val="bottom"/>
            <w:gridSpan w:val="2"/>
          </w:tcPr>
          <w:p>
            <w:pPr>
              <w:jc w:val="right"/>
              <w:ind w:right="5410"/>
              <w:spacing w:after="0"/>
              <w:rPr>
                <w:sz w:val="20"/>
                <w:szCs w:val="20"/>
                <w:color w:val="auto"/>
              </w:rPr>
            </w:pPr>
            <w:r>
              <w:rPr>
                <w:rFonts w:ascii="Arial" w:cs="Arial" w:eastAsia="Arial" w:hAnsi="Arial"/>
                <w:sz w:val="18"/>
                <w:szCs w:val="18"/>
                <w:color w:val="auto"/>
              </w:rPr>
              <w:t>EXHIBIT 21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DECEMBER 31, 2013</w:t>
            </w:r>
          </w:p>
        </w:tc>
        <w:tc>
          <w:tcPr>
            <w:tcW w:w="45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918"/>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Subsidiary companies and place of incorporation</w:t>
            </w:r>
          </w:p>
        </w:tc>
        <w:tc>
          <w:tcPr>
            <w:tcW w:w="456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Ownership</w:t>
            </w:r>
          </w:p>
        </w:tc>
      </w:tr>
      <w:tr>
        <w:trPr>
          <w:trHeight w:val="27"/>
        </w:trPr>
        <w:tc>
          <w:tcPr>
            <w:tcW w:w="4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 Rowe Price Associates,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(Canada),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Investment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 Rowe Price Retirement Plan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International Ltd (United Kingdom)</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720"/>
              <w:spacing w:after="0"/>
              <w:rPr>
                <w:sz w:val="20"/>
                <w:szCs w:val="20"/>
                <w:color w:val="auto"/>
              </w:rPr>
            </w:pPr>
            <w:r>
              <w:rPr>
                <w:rFonts w:ascii="Arial" w:cs="Arial" w:eastAsia="Arial" w:hAnsi="Arial"/>
                <w:sz w:val="18"/>
                <w:szCs w:val="18"/>
                <w:color w:val="auto"/>
              </w:rPr>
              <w:t>T. Rowe Price Hong Kong Limited (Hong Kong)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Singapore Private Ltd. (Singapore)</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8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33-7012, No. 333-90967, No. 333-59714, No. 333-120882, No. 333-120883, No. 333-167317, No. 333-142092, and No. 333-180904) on Form S-8 of T. Rowe Price Group, Inc. of our reports dated February 4, 2014, with respect to the consolidated balance sheets of T. Rowe Price Group, Inc. and subsidiaries as of December 31, 2013 and 2012, and the related consolidated statements of income, comprehensive income, and stockholders’ equity and cash flows for each of the years in the three-year period ended December 31, 2013, and the effectiveness of internal control over financial reporting as of December 31, 2013, which reports appear in the December 31, 2013 Annual Report on Form 10-K of T. Rowe Price Group,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ectPr>
          <w:pgSz w:w="11900" w:h="16838" w:orient="portrait"/>
          <w:cols w:equalWidth="0" w:num="1">
            <w:col w:w="11420"/>
          </w:cols>
          <w:pgMar w:left="240" w:top="665" w:right="239" w:bottom="1440" w:gutter="0" w:footer="0" w:header="0"/>
        </w:sectPr>
      </w:pPr>
    </w:p>
    <w:bookmarkStart w:id="62" w:name="page63"/>
    <w:bookmarkEnd w:id="62"/>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63" w:name="page64"/>
    <w:bookmarkEnd w:id="63"/>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10-K Annual Report Report for the fiscal year ended December 31, 2013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64" w:name="page65"/>
    <w:bookmarkEnd w:id="64"/>
    <w:p>
      <w:pPr>
        <w:spacing w:after="0"/>
        <w:tabs>
          <w:tab w:leader="none" w:pos="25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2013 of T. Rowe Price Group, Inc., that:</w:t>
      </w:r>
    </w:p>
    <w:p>
      <w:pPr>
        <w:spacing w:after="0" w:line="116"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Form 10-K Annual Report Report fully complies with the requirements of Section 13(a) of the Securities Exchange Act of 1934, as amended; and</w:t>
      </w:r>
    </w:p>
    <w:p>
      <w:pPr>
        <w:spacing w:after="0" w:line="194" w:lineRule="exact"/>
        <w:rPr>
          <w:rFonts w:ascii="Arial" w:cs="Arial" w:eastAsia="Arial" w:hAnsi="Arial"/>
          <w:sz w:val="16"/>
          <w:szCs w:val="16"/>
          <w:color w:val="auto"/>
        </w:rPr>
      </w:pPr>
    </w:p>
    <w:p>
      <w:pPr>
        <w:ind w:right="10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380"/>
      </w:cols>
      <w:pgMar w:left="240" w:top="6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2019-12-06T23:33:15Z</dcterms:created>
  <dcterms:modified xsi:type="dcterms:W3CDTF">2019-12-06T23:33:15Z</dcterms:modified>
</cp:coreProperties>
</file>