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of 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January 20, 2010</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T. Rowe Price Group,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800" w:type="dxa"/>
            <w:vAlign w:val="bottom"/>
            <w:gridSpan w:val="3"/>
          </w:tcPr>
          <w:p>
            <w:pPr>
              <w:jc w:val="center"/>
              <w:ind w:right="1360"/>
              <w:spacing w:after="0"/>
              <w:rPr>
                <w:sz w:val="20"/>
                <w:szCs w:val="20"/>
                <w:color w:val="auto"/>
              </w:rPr>
            </w:pPr>
            <w:r>
              <w:rPr>
                <w:rFonts w:ascii="Arial" w:cs="Arial" w:eastAsia="Arial" w:hAnsi="Arial"/>
                <w:sz w:val="18"/>
                <w:szCs w:val="18"/>
                <w:b w:val="1"/>
                <w:bCs w:val="1"/>
                <w:color w:val="auto"/>
                <w:w w:val="96"/>
              </w:rPr>
              <w:t>Maryland</w:t>
            </w:r>
          </w:p>
        </w:tc>
        <w:tc>
          <w:tcPr>
            <w:tcW w:w="2640" w:type="dxa"/>
            <w:vAlign w:val="bottom"/>
          </w:tcPr>
          <w:p>
            <w:pPr>
              <w:jc w:val="center"/>
              <w:ind w:right="690"/>
              <w:spacing w:after="0"/>
              <w:rPr>
                <w:sz w:val="20"/>
                <w:szCs w:val="20"/>
                <w:color w:val="auto"/>
              </w:rPr>
            </w:pPr>
            <w:r>
              <w:rPr>
                <w:rFonts w:ascii="Arial" w:cs="Arial" w:eastAsia="Arial" w:hAnsi="Arial"/>
                <w:sz w:val="18"/>
                <w:szCs w:val="18"/>
                <w:b w:val="1"/>
                <w:bCs w:val="1"/>
                <w:color w:val="auto"/>
                <w:w w:val="90"/>
              </w:rPr>
              <w:t>000-32191</w:t>
            </w:r>
          </w:p>
        </w:tc>
        <w:tc>
          <w:tcPr>
            <w:tcW w:w="3980" w:type="dxa"/>
            <w:vAlign w:val="bottom"/>
            <w:gridSpan w:val="2"/>
          </w:tcPr>
          <w:p>
            <w:pPr>
              <w:jc w:val="center"/>
              <w:ind w:left="470"/>
              <w:spacing w:after="0"/>
              <w:rPr>
                <w:sz w:val="20"/>
                <w:szCs w:val="20"/>
                <w:color w:val="auto"/>
              </w:rPr>
            </w:pPr>
            <w:r>
              <w:rPr>
                <w:rFonts w:ascii="Arial" w:cs="Arial" w:eastAsia="Arial" w:hAnsi="Arial"/>
                <w:sz w:val="18"/>
                <w:szCs w:val="18"/>
                <w:b w:val="1"/>
                <w:bCs w:val="1"/>
                <w:color w:val="auto"/>
                <w:w w:val="89"/>
              </w:rPr>
              <w:t>52-2264646</w:t>
            </w:r>
          </w:p>
        </w:tc>
      </w:tr>
      <w:tr>
        <w:trPr>
          <w:trHeight w:val="209"/>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(State of</w:t>
            </w:r>
          </w:p>
        </w:tc>
        <w:tc>
          <w:tcPr>
            <w:tcW w:w="5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640" w:type="dxa"/>
            <w:vAlign w:val="bottom"/>
            <w:tcBorders>
              <w:top w:val="single" w:sz="8" w:color="auto"/>
            </w:tcBorders>
          </w:tcPr>
          <w:p>
            <w:pPr>
              <w:jc w:val="center"/>
              <w:ind w:right="690"/>
              <w:spacing w:after="0"/>
              <w:rPr>
                <w:sz w:val="20"/>
                <w:szCs w:val="20"/>
                <w:color w:val="auto"/>
              </w:rPr>
            </w:pPr>
            <w:r>
              <w:rPr>
                <w:rFonts w:ascii="Arial" w:cs="Arial" w:eastAsia="Arial" w:hAnsi="Arial"/>
                <w:sz w:val="18"/>
                <w:szCs w:val="18"/>
                <w:color w:val="auto"/>
                <w:w w:val="93"/>
              </w:rPr>
              <w:t>(Commission</w:t>
            </w:r>
          </w:p>
        </w:tc>
        <w:tc>
          <w:tcPr>
            <w:tcW w:w="56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4800" w:type="dxa"/>
            <w:vAlign w:val="bottom"/>
            <w:gridSpan w:val="3"/>
          </w:tcPr>
          <w:p>
            <w:pPr>
              <w:jc w:val="center"/>
              <w:ind w:right="1360"/>
              <w:spacing w:after="0"/>
              <w:rPr>
                <w:sz w:val="20"/>
                <w:szCs w:val="20"/>
                <w:color w:val="auto"/>
              </w:rPr>
            </w:pPr>
            <w:r>
              <w:rPr>
                <w:rFonts w:ascii="Arial" w:cs="Arial" w:eastAsia="Arial" w:hAnsi="Arial"/>
                <w:sz w:val="18"/>
                <w:szCs w:val="18"/>
                <w:color w:val="auto"/>
                <w:w w:val="94"/>
              </w:rPr>
              <w:t>incorporation)</w:t>
            </w:r>
          </w:p>
        </w:tc>
        <w:tc>
          <w:tcPr>
            <w:tcW w:w="2640" w:type="dxa"/>
            <w:vAlign w:val="bottom"/>
          </w:tcPr>
          <w:p>
            <w:pPr>
              <w:jc w:val="center"/>
              <w:ind w:right="690"/>
              <w:spacing w:after="0"/>
              <w:rPr>
                <w:sz w:val="20"/>
                <w:szCs w:val="20"/>
                <w:color w:val="auto"/>
              </w:rPr>
            </w:pPr>
            <w:r>
              <w:rPr>
                <w:rFonts w:ascii="Arial" w:cs="Arial" w:eastAsia="Arial" w:hAnsi="Arial"/>
                <w:sz w:val="18"/>
                <w:szCs w:val="18"/>
                <w:color w:val="auto"/>
                <w:w w:val="94"/>
              </w:rPr>
              <w:t>File Number)</w:t>
            </w: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32"/>
        </w:trPr>
        <w:tc>
          <w:tcPr>
            <w:tcW w:w="480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b w:val="1"/>
                <w:bCs w:val="1"/>
                <w:color w:val="auto"/>
                <w:w w:val="92"/>
              </w:rPr>
              <w:t>100 East Pratt Street, Baltimore, Maryland</w:t>
            </w:r>
          </w:p>
        </w:tc>
        <w:tc>
          <w:tcPr>
            <w:tcW w:w="264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gridSpan w:val="2"/>
          </w:tcPr>
          <w:p>
            <w:pPr>
              <w:jc w:val="right"/>
              <w:ind w:right="2390"/>
              <w:spacing w:after="0"/>
              <w:rPr>
                <w:sz w:val="20"/>
                <w:szCs w:val="20"/>
                <w:color w:val="auto"/>
              </w:rPr>
            </w:pPr>
            <w:r>
              <w:rPr>
                <w:rFonts w:ascii="Arial" w:cs="Arial" w:eastAsia="Arial" w:hAnsi="Arial"/>
                <w:sz w:val="18"/>
                <w:szCs w:val="18"/>
                <w:b w:val="1"/>
                <w:bCs w:val="1"/>
                <w:color w:val="auto"/>
              </w:rPr>
              <w:t>21202</w:t>
            </w:r>
          </w:p>
        </w:tc>
      </w:tr>
      <w:tr>
        <w:trPr>
          <w:trHeight w:val="224"/>
        </w:trPr>
        <w:tc>
          <w:tcPr>
            <w:tcW w:w="4800" w:type="dxa"/>
            <w:vAlign w:val="bottom"/>
            <w:gridSpan w:val="3"/>
          </w:tcPr>
          <w:p>
            <w:pPr>
              <w:jc w:val="center"/>
              <w:ind w:left="530"/>
              <w:spacing w:after="0"/>
              <w:rPr>
                <w:sz w:val="20"/>
                <w:szCs w:val="20"/>
                <w:color w:val="auto"/>
              </w:rPr>
            </w:pPr>
            <w:r>
              <w:rPr>
                <w:rFonts w:ascii="Arial" w:cs="Arial" w:eastAsia="Arial" w:hAnsi="Arial"/>
                <w:sz w:val="18"/>
                <w:szCs w:val="18"/>
                <w:color w:val="auto"/>
                <w:w w:val="92"/>
              </w:rPr>
              <w:t>(Address of principal executive offices)</w:t>
            </w:r>
          </w:p>
        </w:tc>
        <w:tc>
          <w:tcPr>
            <w:tcW w:w="2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jc w:val="center"/>
              <w:ind w:right="1930"/>
              <w:spacing w:after="0"/>
              <w:rPr>
                <w:sz w:val="20"/>
                <w:szCs w:val="20"/>
                <w:color w:val="auto"/>
              </w:rPr>
            </w:pPr>
            <w:r>
              <w:rPr>
                <w:rFonts w:ascii="Arial" w:cs="Arial" w:eastAsia="Arial" w:hAnsi="Arial"/>
                <w:sz w:val="18"/>
                <w:szCs w:val="18"/>
                <w:color w:val="auto"/>
                <w:w w:val="94"/>
              </w:rPr>
              <w:t>(Zip Code)</w:t>
            </w:r>
          </w:p>
        </w:tc>
      </w:tr>
    </w:tbl>
    <w:p>
      <w:pPr>
        <w:spacing w:after="0" w:line="19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u w:val="single" w:color="auto"/>
          <w:color w:val="auto"/>
        </w:rPr>
        <w:t>(410) 345-2000</w:t>
      </w:r>
    </w:p>
    <w:p>
      <w:pPr>
        <w:spacing w:after="0" w:line="121"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638810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22"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8.01. Other Events.</w:t>
      </w:r>
    </w:p>
    <w:p>
      <w:pPr>
        <w:spacing w:after="0" w:line="117"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On January 20, 2010, we completed the previously announced acquisition of a 26% stake in UTI Asset Management Company Limited and UTI Trustee Company Pvt. Ltd. for INR 6.5 billion ($142.4 million) from existing stockholders. UTI Asset Management Company had approximately $17.8 billion in average assets under management in December 2009.</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issued about this transaction is attached to this Current Report on Form 8-K as Exhibit 99.</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information in this Form 8-K and the Exhibit attached hereto shall not be deemed “filed” for purposes of Section 18 of the Securities Exchange Act of 1934, nor shall it be deemed incorporated by reference in any filing under the Securities Act of 1933, except as shall be expressly set forth by specific reference in such filing.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340"/>
        <w:spacing w:after="0"/>
        <w:tabs>
          <w:tab w:leader="none" w:pos="1400" w:val="left"/>
        </w:tabs>
        <w:rPr>
          <w:sz w:val="20"/>
          <w:szCs w:val="20"/>
          <w:color w:val="auto"/>
        </w:rPr>
      </w:pPr>
      <w:r>
        <w:rPr>
          <w:rFonts w:ascii="Arial" w:cs="Arial" w:eastAsia="Arial" w:hAnsi="Arial"/>
          <w:sz w:val="18"/>
          <w:szCs w:val="18"/>
          <w:color w:val="auto"/>
        </w:rPr>
        <w:t>99</w:t>
      </w:r>
      <w:r>
        <w:rPr>
          <w:sz w:val="20"/>
          <w:szCs w:val="20"/>
          <w:color w:val="auto"/>
        </w:rPr>
        <w:tab/>
      </w:r>
      <w:r>
        <w:rPr>
          <w:rFonts w:ascii="Arial" w:cs="Arial" w:eastAsia="Arial" w:hAnsi="Arial"/>
          <w:sz w:val="18"/>
          <w:szCs w:val="18"/>
          <w:color w:val="auto"/>
        </w:rPr>
        <w:t>Press Release dated January 20, 2010.</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 Rowe Price Group,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Kenneth V. Moreland</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Kenneth V. Moreland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26155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Vice President and 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January 20, 2010</w:t>
      </w:r>
    </w:p>
    <w:p>
      <w:pPr>
        <w:sectPr>
          <w:pgSz w:w="11900" w:h="16838" w:orient="portrait"/>
          <w:cols w:equalWidth="0" w:num="1">
            <w:col w:w="11220"/>
          </w:cols>
          <w:pgMar w:left="240" w:top="931" w:right="4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223520</wp:posOffset>
            </wp:positionV>
            <wp:extent cx="6217285" cy="1071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17285" cy="107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 ROWE PRICE COMPLETES ACQUISITION OF STAKE IN UTI ASSET MANAGEMENT COMPANY</w:t>
      </w:r>
    </w:p>
    <w:p>
      <w:pPr>
        <w:spacing w:after="0" w:line="229"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BALTIMORE (January 20, 2010) - T. Rowe Price Group (NASDAQ-GS: TROW) closed today on its previously announced transaction to acquire a 26% stake in UTI Asset Management Company Limited and UTI Trustee Company Pvt. Ltd. for INR 6.5 billion (US $142.4 million).</w:t>
      </w:r>
    </w:p>
    <w:p>
      <w:pPr>
        <w:spacing w:after="0" w:line="14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 Rowe Price acquired a 6.5% stake from each of the original four stockholders - State Bank of India, Punjab National Bank, Bank of Baroda, and Life Insurance Corporation of India - who will each retain an 18.5% stake in UTI Asset Management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 Rowe Price was represented in this transaction by ICICI Securities Ltd. in Mumbai, India.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T. Rowe Price</w:t>
      </w:r>
    </w:p>
    <w:p>
      <w:pPr>
        <w:spacing w:after="0" w:line="22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Founded in 1937, Baltimore-based T. Rowe Price Group, Inc. (www.troweprice.com) is a global investment management organization with US $366.2 billion in assets as of September 30, 2009. The organization provides a broad array of mutual funds, sub-advisory services, and separate account management for financial intermediaries, individual and institutional investors, and retirement plans. The company also offers sophisticated investment planning and guidance tools. T. Rowe Price’s disciplined, risk-aware investment approach focuses on diversification, style consistency, and fundamental research.</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UTI</w:t>
      </w:r>
    </w:p>
    <w:p>
      <w:pPr>
        <w:spacing w:after="0" w:line="22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UTI Asset Management Company, with approximately US $17.8 billion in average assets under management in December 2009, is the fourth largest asset manager in India and the investment manager of UTI Mutual Fund, a SEBI registered mutual fund. UTI serves more than 10 million individual and institutional investor accounts in India through its 74 domestic fixed-income and equity mutual fund strategies.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2019-12-10T18:49:40Z</dcterms:created>
  <dcterms:modified xsi:type="dcterms:W3CDTF">2019-12-10T18:49:40Z</dcterms:modified>
</cp:coreProperties>
</file>