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07"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FORM 10-Q</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QUARTERLY REPORT PURSUANT TO SECTION 13 OF THE SECURITIES EXCHANGE ACT OF 1934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157"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u w:val="single" w:color="auto"/>
          <w:color w:val="auto"/>
        </w:rPr>
        <w:t>T. ROWE PRICE GROUP, INC.</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93"/>
              </w:rPr>
              <w:t>Maryland</w:t>
            </w:r>
          </w:p>
        </w:tc>
        <w:tc>
          <w:tcPr>
            <w:tcW w:w="620" w:type="dxa"/>
            <w:vAlign w:val="bottom"/>
          </w:tcPr>
          <w:p>
            <w:pPr>
              <w:spacing w:after="0"/>
              <w:rPr>
                <w:sz w:val="17"/>
                <w:szCs w:val="17"/>
                <w:color w:val="auto"/>
              </w:rPr>
            </w:pPr>
          </w:p>
        </w:tc>
        <w:tc>
          <w:tcPr>
            <w:tcW w:w="26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52-2264646</w:t>
            </w:r>
          </w:p>
        </w:tc>
      </w:tr>
      <w:tr>
        <w:trPr>
          <w:trHeight w:val="20"/>
        </w:trPr>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5"/>
        </w:trPr>
        <w:tc>
          <w:tcPr>
            <w:tcW w:w="1680" w:type="dxa"/>
            <w:vAlign w:val="bottom"/>
            <w:gridSpan w:val="3"/>
          </w:tcPr>
          <w:p>
            <w:pPr>
              <w:spacing w:after="0"/>
              <w:rPr>
                <w:sz w:val="20"/>
                <w:szCs w:val="20"/>
                <w:color w:val="auto"/>
              </w:rPr>
            </w:pPr>
            <w:r>
              <w:rPr>
                <w:rFonts w:ascii="Arial" w:cs="Arial" w:eastAsia="Arial" w:hAnsi="Arial"/>
                <w:sz w:val="18"/>
                <w:szCs w:val="18"/>
                <w:color w:val="auto"/>
                <w:w w:val="90"/>
              </w:rPr>
              <w:t>(State of incorporation)</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w w:val="93"/>
              </w:rPr>
              <w:t>(I.R.S. Employer Identification No.)</w:t>
            </w:r>
          </w:p>
        </w:tc>
      </w:tr>
    </w:tbl>
    <w:p>
      <w:pPr>
        <w:spacing w:after="0" w:line="1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165" w:lineRule="exact"/>
        <w:rPr>
          <w:sz w:val="24"/>
          <w:szCs w:val="24"/>
          <w:color w:val="auto"/>
        </w:rPr>
      </w:pPr>
    </w:p>
    <w:p>
      <w:pPr>
        <w:ind w:right="46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of the Securities Exchange Act of 1934 during the preceding 12 months, and (2) has been subject to such filing requirements for the past 90 days.</w:t>
      </w:r>
    </w:p>
    <w:p>
      <w:pPr>
        <w:ind w:left="3060" w:hanging="287"/>
        <w:spacing w:after="0"/>
        <w:tabs>
          <w:tab w:leader="none" w:pos="30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  ] No</w:t>
      </w:r>
    </w:p>
    <w:p>
      <w:pPr>
        <w:spacing w:after="0" w:line="16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w:t>
      </w:r>
    </w:p>
    <w:p>
      <w:pPr>
        <w:ind w:left="2880" w:hanging="282"/>
        <w:spacing w:after="0"/>
        <w:tabs>
          <w:tab w:leader="none" w:pos="2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  ] No</w:t>
      </w:r>
    </w:p>
    <w:p>
      <w:pPr>
        <w:spacing w:after="0" w:line="165"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33" w:right="379" w:bottom="1440" w:gutter="0" w:footer="0" w:header="0"/>
        </w:sectPr>
      </w:pPr>
    </w:p>
    <w:p>
      <w:pPr>
        <w:spacing w:after="0" w:line="120" w:lineRule="exact"/>
        <w:rPr>
          <w:sz w:val="24"/>
          <w:szCs w:val="24"/>
          <w:color w:val="auto"/>
        </w:rPr>
      </w:pPr>
    </w:p>
    <w:p>
      <w:pPr>
        <w:ind w:left="820"/>
        <w:spacing w:after="0" w:line="378" w:lineRule="auto"/>
        <w:rPr>
          <w:sz w:val="20"/>
          <w:szCs w:val="20"/>
          <w:color w:val="auto"/>
        </w:rPr>
      </w:pPr>
      <w:r>
        <w:rPr>
          <w:rFonts w:ascii="Arial" w:cs="Arial" w:eastAsia="Arial" w:hAnsi="Arial"/>
          <w:sz w:val="15"/>
          <w:szCs w:val="15"/>
          <w:b w:val="1"/>
          <w:bCs w:val="1"/>
          <w:color w:val="auto"/>
        </w:rPr>
        <w:t xml:space="preserve">Large accelerated filer </w:t>
      </w: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64" w:lineRule="exact"/>
        <w:rPr>
          <w:sz w:val="24"/>
          <w:szCs w:val="24"/>
          <w:color w:val="auto"/>
        </w:rPr>
      </w:pPr>
    </w:p>
    <w:p>
      <w:pPr>
        <w:sectPr>
          <w:pgSz w:w="11900" w:h="16838" w:orient="portrait"/>
          <w:cols w:equalWidth="0" w:num="4">
            <w:col w:w="2500" w:space="240"/>
            <w:col w:w="2120" w:space="720"/>
            <w:col w:w="1920" w:space="520"/>
            <w:col w:w="3260"/>
          </w:cols>
          <w:pgMar w:left="240" w:top="233" w:right="37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 xml:space="preserve">[  ] Yes </w:t>
      </w:r>
      <w:r>
        <w:rPr>
          <w:rFonts w:ascii="Arial" w:cs="Arial" w:eastAsia="Arial" w:hAnsi="Arial"/>
          <w:sz w:val="18"/>
          <w:szCs w:val="18"/>
          <w:b w:val="1"/>
          <w:bCs w:val="1"/>
          <w:color w:val="auto"/>
        </w:rPr>
        <w:t>[X] No</w:t>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issuer’s common stock ($.20 par value), as of the latest practicable date, October 21, 2011, is 252,639,961</w:t>
      </w:r>
      <w:r>
        <w:rPr>
          <w:rFonts w:ascii="Arial" w:cs="Arial" w:eastAsia="Arial" w:hAnsi="Arial"/>
          <w:sz w:val="15"/>
          <w:szCs w:val="15"/>
          <w:b w:val="1"/>
          <w:bCs w:val="1"/>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20.</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80"/>
          </w:cols>
          <w:pgMar w:left="24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20" w:type="dxa"/>
            <w:vAlign w:val="bottom"/>
          </w:tcPr>
          <w:p>
            <w:pPr>
              <w:ind w:left="416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740" w:type="dxa"/>
            <w:vAlign w:val="bottom"/>
            <w:gridSpan w:val="2"/>
          </w:tcPr>
          <w:p>
            <w:pPr>
              <w:spacing w:after="0"/>
              <w:rPr>
                <w:sz w:val="20"/>
                <w:szCs w:val="20"/>
                <w:color w:val="auto"/>
              </w:rPr>
            </w:pPr>
            <w:r>
              <w:rPr>
                <w:rFonts w:ascii="Arial" w:cs="Arial" w:eastAsia="Arial" w:hAnsi="Arial"/>
                <w:sz w:val="18"/>
                <w:szCs w:val="18"/>
                <w:color w:val="auto"/>
              </w:rPr>
              <w:t>UNAUDITED CONDENSED CONSOLIDATED BALANCE SHEETS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(in millions, except share data)</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6"/>
              </w:rPr>
              <w:t>12/31/2010</w:t>
            </w: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7"/>
              </w:rPr>
              <w:t>9/30/2011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813.1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665.7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152.7</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3,642.0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Accrued compensation and related costs</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Customer deposits at savings bank subsidiary</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160.4</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345.5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Common stock, $.20 par value - authorized 750,000,000; issued 258,760,000 shares in 2010 and 252,775,000 in 2011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Additional capital in excess of par value</w:t>
            </w: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3,296.5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3,642.0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4"/>
          </w:tcPr>
          <w:p>
            <w:pPr>
              <w:jc w:val="right"/>
              <w:ind w:right="212"/>
              <w:spacing w:after="0"/>
              <w:rPr>
                <w:sz w:val="20"/>
                <w:szCs w:val="20"/>
                <w:color w:val="auto"/>
              </w:rPr>
            </w:pPr>
            <w:r>
              <w:rPr>
                <w:rFonts w:ascii="Arial" w:cs="Arial" w:eastAsia="Arial" w:hAnsi="Arial"/>
                <w:sz w:val="18"/>
                <w:szCs w:val="18"/>
                <w:color w:val="auto"/>
                <w:w w:val="89"/>
              </w:rPr>
              <w:t>Three months ended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5"/>
          </w:tcPr>
          <w:p>
            <w:pPr>
              <w:ind w:left="1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9"/>
              </w:rPr>
              <w:t>9/30/2010</w:t>
            </w:r>
          </w:p>
        </w:tc>
        <w:tc>
          <w:tcPr>
            <w:tcW w:w="112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9/30/2011</w:t>
            </w:r>
          </w:p>
        </w:tc>
        <w:tc>
          <w:tcPr>
            <w:tcW w:w="2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9"/>
              </w:rPr>
              <w:t>9/30/2010</w:t>
            </w:r>
          </w:p>
        </w:tc>
        <w:tc>
          <w:tcPr>
            <w:tcW w:w="1120" w:type="dxa"/>
            <w:vAlign w:val="bottom"/>
            <w:tcBorders>
              <w:top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502.5</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1,466.3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1,778.5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Administrative fees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Investment income of savings bank subsidiary</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1,722.4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Interest expense on savings bank deposits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1,719.7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Occupancy and facility costs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04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3" w:name="page4"/>
    <w:bookmarkEnd w:id="3"/>
    <w:p>
      <w:pPr>
        <w:ind w:right="5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CASH FLOWS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99"/>
              </w:rPr>
              <w:t>9/30/2010</w:t>
            </w:r>
          </w:p>
        </w:tc>
        <w:tc>
          <w:tcPr>
            <w:tcW w:w="1260" w:type="dxa"/>
            <w:vAlign w:val="bottom"/>
            <w:tcBorders>
              <w:top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480.6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changes in assets and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711.5</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Investment in UTI Asset Management Company Limited</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 in sponsored mutual funds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Dispositions of sponsored mutual funds</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Investments in debt securities held by savings bank subsidiary</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Proceeds from debt securities held by savings bank subsidiary</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Other investing activity</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Common share issuances under stock-based compensation plans</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Excess tax benefits from stock-based compensation plans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Dividends</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savings bank subsidiary deposits</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Net change during period</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743.3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At end of period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810.</w:t>
            </w:r>
            <w:r>
              <w:rPr>
                <w:rFonts w:ascii="Arial" w:cs="Arial" w:eastAsia="Arial" w:hAnsi="Arial"/>
                <w:sz w:val="18"/>
                <w:szCs w:val="18"/>
                <w:u w:val="single" w:color="auto"/>
                <w:color w:val="auto"/>
              </w:rPr>
              <w:t>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1,001.4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80" w:right="239" w:bottom="1440" w:gutter="0" w:footer="0" w:header="0"/>
        </w:sectPr>
      </w:pPr>
    </w:p>
    <w:bookmarkStart w:id="4" w:name="page5"/>
    <w:bookmarkEnd w:id="4"/>
    <w:p>
      <w:pPr>
        <w:ind w:right="4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 OF STOCKHOLDERS’ EQUITY (shares in thousands;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2"/>
              <w:spacing w:after="0"/>
              <w:rPr>
                <w:sz w:val="20"/>
                <w:szCs w:val="20"/>
                <w:color w:val="auto"/>
              </w:rPr>
            </w:pPr>
            <w:r>
              <w:rPr>
                <w:rFonts w:ascii="Arial" w:cs="Arial" w:eastAsia="Arial" w:hAnsi="Arial"/>
                <w:sz w:val="18"/>
                <w:szCs w:val="18"/>
                <w:color w:val="auto"/>
                <w:w w:val="90"/>
              </w:rPr>
              <w:t>capital 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w w:val="87"/>
              </w:rPr>
              <w:t>Common</w:t>
            </w: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5"/>
              </w:rPr>
              <w:t>excess of par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88"/>
              </w:rPr>
              <w:t>Retained</w:t>
            </w:r>
          </w:p>
        </w:tc>
        <w:tc>
          <w:tcPr>
            <w:tcW w:w="2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comprehensive</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outstanding</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72"/>
              <w:spacing w:after="0"/>
              <w:rPr>
                <w:sz w:val="20"/>
                <w:szCs w:val="20"/>
                <w:color w:val="auto"/>
              </w:rPr>
            </w:pPr>
            <w:r>
              <w:rPr>
                <w:rFonts w:ascii="Arial" w:cs="Arial" w:eastAsia="Arial" w:hAnsi="Arial"/>
                <w:sz w:val="18"/>
                <w:szCs w:val="18"/>
                <w:color w:val="auto"/>
                <w:w w:val="88"/>
              </w:rPr>
              <w:t>value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89"/>
              </w:rPr>
              <w:t>earnings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income</w:t>
            </w:r>
          </w:p>
        </w:tc>
        <w:tc>
          <w:tcPr>
            <w:tcW w:w="26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equity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Balances at December 31, 2010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Net unrealized holding losses, net of tax</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Currency translation adjustment, net of tax</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Total comprehensive income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7"/>
              </w:rPr>
              <w:t>Common stock-based compensation plans activity</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issued upon option exercises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w w:val="93"/>
              </w:rPr>
              <w:t>Restricted shares issued, net of shares withheld for</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taxes</w:t>
            </w: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Shares issued upon vesting of restricted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Forfeiture of restricted awards</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tax benefits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Balances at September 30, 2011</w:t>
            </w:r>
          </w:p>
        </w:tc>
        <w:tc>
          <w:tcPr>
            <w:tcW w:w="1060" w:type="dxa"/>
            <w:vAlign w:val="bottom"/>
          </w:tcPr>
          <w:p>
            <w:pPr>
              <w:jc w:val="right"/>
              <w:spacing w:after="0"/>
              <w:rPr>
                <w:sz w:val="20"/>
                <w:szCs w:val="20"/>
                <w:color w:val="auto"/>
              </w:rPr>
            </w:pPr>
            <w:r>
              <w:rPr>
                <w:rFonts w:ascii="Arial" w:cs="Arial" w:eastAsia="Arial" w:hAnsi="Arial"/>
                <w:sz w:val="18"/>
                <w:szCs w:val="18"/>
                <w:color w:val="auto"/>
              </w:rPr>
              <w:t>252,775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5" w:name="page6"/>
    <w:bookmarkEnd w:id="5"/>
    <w:p>
      <w:pPr>
        <w:ind w:right="4780"/>
        <w:spacing w:after="0" w:line="4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CONDENSED CONSOLIDATED FINANCIAL STATEMENTS NOTE 1 - THE COMPANY AND BASIS OF PREPARATION.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2010 Annual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$154.0 million at December 31, 2010, and $147.2 million at September 30,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advisory services provided under agreements with our sponsored mutual funds and other investment clients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w w:val="91"/>
              </w:rPr>
              <w:t>Three months ended</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9/30/2010</w:t>
            </w:r>
          </w:p>
        </w:tc>
        <w:tc>
          <w:tcPr>
            <w:tcW w:w="1320" w:type="dxa"/>
            <w:vAlign w:val="bottom"/>
            <w:gridSpan w:val="3"/>
          </w:tcPr>
          <w:p>
            <w:pPr>
              <w:ind w:left="460"/>
              <w:spacing w:after="0"/>
              <w:rPr>
                <w:sz w:val="20"/>
                <w:szCs w:val="20"/>
                <w:color w:val="auto"/>
              </w:rPr>
            </w:pPr>
            <w:r>
              <w:rPr>
                <w:rFonts w:ascii="Arial" w:cs="Arial" w:eastAsia="Arial" w:hAnsi="Arial"/>
                <w:sz w:val="18"/>
                <w:szCs w:val="18"/>
                <w:color w:val="auto"/>
              </w:rPr>
              <w:t>9/30/2011</w:t>
            </w:r>
          </w:p>
        </w:tc>
        <w:tc>
          <w:tcPr>
            <w:tcW w:w="300" w:type="dxa"/>
            <w:vAlign w:val="bottom"/>
          </w:tcPr>
          <w:p>
            <w:pPr>
              <w:spacing w:after="0"/>
              <w:rPr>
                <w:sz w:val="18"/>
                <w:szCs w:val="18"/>
                <w:color w:val="auto"/>
              </w:rPr>
            </w:pP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9/30/2010</w:t>
            </w:r>
          </w:p>
        </w:tc>
        <w:tc>
          <w:tcPr>
            <w:tcW w:w="1440" w:type="dxa"/>
            <w:vAlign w:val="bottom"/>
            <w:gridSpan w:val="3"/>
          </w:tcPr>
          <w:p>
            <w:pPr>
              <w:jc w:val="right"/>
              <w:ind w:right="13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271.3</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321.5</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809.2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344.2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1,012.4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3"/>
              </w:rPr>
              <w:t>1,216.4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158.3</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180.2</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502.5</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578.0</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1,778.5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various investment portfolios and assets under management (in billions) on which we earn advisory fees.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Average during</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7"/>
          </w:tcPr>
          <w:p>
            <w:pPr>
              <w:jc w:val="center"/>
              <w:ind w:right="440"/>
              <w:spacing w:after="0"/>
              <w:rPr>
                <w:sz w:val="20"/>
                <w:szCs w:val="20"/>
                <w:color w:val="auto"/>
              </w:rPr>
            </w:pPr>
            <w:r>
              <w:rPr>
                <w:rFonts w:ascii="Arial" w:cs="Arial" w:eastAsia="Arial" w:hAnsi="Arial"/>
                <w:sz w:val="18"/>
                <w:szCs w:val="18"/>
                <w:color w:val="auto"/>
                <w:w w:val="88"/>
              </w:rPr>
              <w:t>Average during</w:t>
            </w: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the third quarter</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7"/>
          </w:tcPr>
          <w:p>
            <w:pPr>
              <w:jc w:val="center"/>
              <w:ind w:right="440"/>
              <w:spacing w:after="0"/>
              <w:rPr>
                <w:sz w:val="20"/>
                <w:szCs w:val="20"/>
                <w:color w:val="auto"/>
              </w:rPr>
            </w:pPr>
            <w:r>
              <w:rPr>
                <w:rFonts w:ascii="Arial" w:cs="Arial" w:eastAsia="Arial" w:hAnsi="Arial"/>
                <w:sz w:val="18"/>
                <w:szCs w:val="18"/>
                <w:color w:val="auto"/>
                <w:w w:val="88"/>
              </w:rPr>
              <w:t>the first nine months</w:t>
            </w:r>
          </w:p>
        </w:tc>
      </w:tr>
      <w:tr>
        <w:trPr>
          <w:trHeight w:val="211"/>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w w:val="94"/>
              </w:rPr>
              <w:t>2010</w:t>
            </w:r>
          </w:p>
        </w:tc>
        <w:tc>
          <w:tcPr>
            <w:tcW w:w="1300" w:type="dxa"/>
            <w:vAlign w:val="bottom"/>
            <w:tcBorders>
              <w:top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w w:val="84"/>
              </w:rPr>
              <w:t>2010</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178.5</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212.4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178.9</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Bond and money market</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288.3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145.0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Bond, money market and stable value</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170.2</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3"/>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416.1</w:t>
            </w: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490.5</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408.9</w:t>
            </w:r>
          </w:p>
        </w:tc>
        <w:tc>
          <w:tcPr>
            <w:tcW w:w="24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87"/>
              </w:rPr>
              <w:t>As of</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12/31/2010</w:t>
            </w:r>
          </w:p>
        </w:tc>
        <w:tc>
          <w:tcPr>
            <w:tcW w:w="1300" w:type="dxa"/>
            <w:vAlign w:val="bottom"/>
            <w:gridSpan w:val="5"/>
          </w:tcPr>
          <w:p>
            <w:pPr>
              <w:jc w:val="right"/>
              <w:ind w:right="3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212.4</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Bond and money market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Bond, money market and stable value</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r>
              <w:rPr>
                <w:rFonts w:ascii="Arial" w:cs="Arial" w:eastAsia="Arial" w:hAnsi="Arial"/>
                <w:sz w:val="18"/>
                <w:szCs w:val="18"/>
                <w:u w:val="single" w:color="auto"/>
                <w:color w:val="auto"/>
              </w:rPr>
              <w:t>0</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453.</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domiciled outside the United States account for more than 11% of our assets under management at September 30, 2011.</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nine months of the year were $197.6 million in 2010 and $239.7 million in 2011. Fees for these services during the third quarter were $66.0 million in 2010 and $82.0 million in 2011.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gridSpan w:val="4"/>
          </w:tcPr>
          <w:p>
            <w:pPr>
              <w:spacing w:after="0"/>
              <w:rPr>
                <w:sz w:val="20"/>
                <w:szCs w:val="20"/>
                <w:color w:val="auto"/>
              </w:rPr>
            </w:pPr>
            <w:r>
              <w:rPr>
                <w:rFonts w:ascii="Arial" w:cs="Arial" w:eastAsia="Arial" w:hAnsi="Arial"/>
                <w:sz w:val="18"/>
                <w:szCs w:val="18"/>
                <w:color w:val="auto"/>
              </w:rPr>
              <w:t>NOTE 3 – INVESTMENTS IN SPONSORED MUTUAL FUNDS.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700" w:type="dxa"/>
            <w:vAlign w:val="bottom"/>
            <w:gridSpan w:val="4"/>
          </w:tcPr>
          <w:p>
            <w:pPr>
              <w:spacing w:after="0"/>
              <w:rPr>
                <w:sz w:val="20"/>
                <w:szCs w:val="20"/>
                <w:color w:val="auto"/>
              </w:rPr>
            </w:pPr>
            <w:r>
              <w:rPr>
                <w:rFonts w:ascii="Arial" w:cs="Arial" w:eastAsia="Arial" w:hAnsi="Arial"/>
                <w:sz w:val="18"/>
                <w:szCs w:val="18"/>
                <w:color w:val="auto"/>
              </w:rPr>
              <w:t>These investments (in millions) include: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w w:val="91"/>
              </w:rPr>
              <w:t>Aggregate</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572"/>
              <w:spacing w:after="0"/>
              <w:rPr>
                <w:sz w:val="20"/>
                <w:szCs w:val="20"/>
                <w:color w:val="auto"/>
              </w:rPr>
            </w:pPr>
            <w:r>
              <w:rPr>
                <w:rFonts w:ascii="Arial" w:cs="Arial" w:eastAsia="Arial" w:hAnsi="Arial"/>
                <w:sz w:val="18"/>
                <w:szCs w:val="18"/>
                <w:color w:val="auto"/>
              </w:rPr>
              <w:t>Unrealized holding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gains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w w:val="97"/>
              </w:rPr>
              <w:t>losses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tcBorders>
              <w:top w:val="single" w:sz="8" w:color="CCEEFF"/>
            </w:tcBorders>
            <w:gridSpan w:val="3"/>
            <w:shd w:val="clear" w:color="auto" w:fill="CCEEFF"/>
          </w:tcPr>
          <w:p>
            <w:pPr>
              <w:spacing w:after="0" w:line="157" w:lineRule="exact"/>
              <w:rPr>
                <w:sz w:val="20"/>
                <w:szCs w:val="20"/>
                <w:color w:val="auto"/>
              </w:rPr>
            </w:pPr>
            <w:r>
              <w:rPr>
                <w:rFonts w:ascii="Arial" w:cs="Arial" w:eastAsia="Arial" w:hAnsi="Arial"/>
                <w:sz w:val="18"/>
                <w:szCs w:val="18"/>
                <w:color w:val="auto"/>
              </w:rPr>
              <w:t>December 31, 2010</w:t>
            </w: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281.7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178.6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248.5</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530.2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217.7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4"/>
              </w:rPr>
              <w:t>September 30, 2011</w:t>
            </w:r>
          </w:p>
        </w:tc>
        <w:tc>
          <w:tcPr>
            <w:tcW w:w="4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281.7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112.7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592.4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150.9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80" w:right="239" w:bottom="1440" w:gutter="0" w:footer="0" w:header="0"/>
        </w:sectPr>
      </w:pPr>
    </w:p>
    <w:bookmarkStart w:id="7" w:name="page8"/>
    <w:bookmarkEnd w:id="7"/>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unrealized holding losses at September 30, 2011, are attributable to eight fund holdings with an aggregate fair value of $85.1 million. These unrealized holding losses were all incurred during the third quarter of 2011 and are considered temporary.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8"/>
                <w:szCs w:val="18"/>
                <w:color w:val="auto"/>
                <w:w w:val="90"/>
              </w:rPr>
              <w:t>12/31/2010</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9"/>
                <w:szCs w:val="19"/>
                <w:color w:val="auto"/>
              </w:rPr>
            </w:pPr>
          </w:p>
        </w:tc>
      </w:tr>
      <w:tr>
        <w:trPr>
          <w:trHeight w:val="202"/>
        </w:trPr>
        <w:tc>
          <w:tcPr>
            <w:tcW w:w="6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88"/>
              </w:rPr>
              <w:t>Unrealized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r>
      <w:tr>
        <w:trPr>
          <w:trHeight w:val="216"/>
        </w:trPr>
        <w:tc>
          <w:tcPr>
            <w:tcW w:w="6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holding</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holding</w:t>
            </w:r>
          </w:p>
        </w:tc>
      </w:tr>
      <w:tr>
        <w:trPr>
          <w:trHeight w:val="216"/>
        </w:trPr>
        <w:tc>
          <w:tcPr>
            <w:tcW w:w="674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Fair</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3"/>
              </w:rPr>
              <w:t>gains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gains</w:t>
            </w:r>
          </w:p>
        </w:tc>
      </w:tr>
      <w:tr>
        <w:trPr>
          <w:trHeight w:val="222"/>
        </w:trPr>
        <w:tc>
          <w:tcPr>
            <w:tcW w:w="674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(losses)</w:t>
            </w:r>
          </w:p>
        </w:tc>
        <w:tc>
          <w:tcPr>
            <w:tcW w:w="300" w:type="dxa"/>
            <w:vAlign w:val="bottom"/>
          </w:tcPr>
          <w:p>
            <w:pPr>
              <w:spacing w:after="0"/>
              <w:rPr>
                <w:sz w:val="19"/>
                <w:szCs w:val="19"/>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value</w:t>
            </w:r>
          </w:p>
        </w:tc>
        <w:tc>
          <w:tcPr>
            <w:tcW w:w="3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(losses)</w:t>
            </w:r>
          </w:p>
        </w:tc>
      </w:tr>
      <w:tr>
        <w:trPr>
          <w:trHeight w:val="198"/>
        </w:trPr>
        <w:tc>
          <w:tcPr>
            <w:tcW w:w="67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Investments with temporary impairment (34 securities in 2011) of</w:t>
            </w: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Less than 12 months</w:t>
            </w:r>
          </w:p>
        </w:tc>
        <w:tc>
          <w:tcPr>
            <w:tcW w:w="760" w:type="dxa"/>
            <w:vAlign w:val="bottom"/>
          </w:tcPr>
          <w:p>
            <w:pPr>
              <w:jc w:val="right"/>
              <w:spacing w:after="0"/>
              <w:rPr>
                <w:sz w:val="20"/>
                <w:szCs w:val="20"/>
                <w:color w:val="auto"/>
              </w:rPr>
            </w:pPr>
            <w:r>
              <w:rPr>
                <w:rFonts w:ascii="Arial" w:cs="Arial" w:eastAsia="Arial" w:hAnsi="Arial"/>
                <w:sz w:val="18"/>
                <w:szCs w:val="18"/>
                <w:color w:val="auto"/>
              </w:rPr>
              <w:t>$ 25.0</w:t>
            </w:r>
          </w:p>
        </w:tc>
        <w:tc>
          <w:tcPr>
            <w:tcW w:w="1640" w:type="dxa"/>
            <w:vAlign w:val="bottom"/>
            <w:gridSpan w:val="3"/>
          </w:tcPr>
          <w:p>
            <w:pPr>
              <w:jc w:val="right"/>
              <w:ind w:right="352"/>
              <w:spacing w:after="0"/>
              <w:rPr>
                <w:sz w:val="20"/>
                <w:szCs w:val="20"/>
                <w:color w:val="auto"/>
              </w:rPr>
            </w:pPr>
            <w:r>
              <w:rPr>
                <w:rFonts w:ascii="Arial" w:cs="Arial" w:eastAsia="Arial" w:hAnsi="Arial"/>
                <w:sz w:val="18"/>
                <w:szCs w:val="18"/>
                <w:color w:val="auto"/>
              </w:rPr>
              <w:t>$(.4)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 months or more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1"/>
        </w:trPr>
        <w:tc>
          <w:tcPr>
            <w:tcW w:w="6740" w:type="dxa"/>
            <w:vAlign w:val="bottom"/>
          </w:tcPr>
          <w:p>
            <w:pPr>
              <w:ind w:left="10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1640" w:type="dxa"/>
            <w:vAlign w:val="bottom"/>
            <w:gridSpan w:val="3"/>
          </w:tcPr>
          <w:p>
            <w:pPr>
              <w:jc w:val="right"/>
              <w:ind w:right="35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175.8</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Total debt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$184.7</w:t>
            </w:r>
          </w:p>
        </w:tc>
        <w:tc>
          <w:tcPr>
            <w:tcW w:w="1640" w:type="dxa"/>
            <w:vAlign w:val="bottom"/>
            <w:gridSpan w:val="3"/>
          </w:tcPr>
          <w:p>
            <w:pPr>
              <w:jc w:val="right"/>
              <w:ind w:right="392"/>
              <w:spacing w:after="0"/>
              <w:rPr>
                <w:sz w:val="20"/>
                <w:szCs w:val="20"/>
                <w:color w:val="auto"/>
              </w:rPr>
            </w:pPr>
            <w:r>
              <w:rPr>
                <w:rFonts w:ascii="Arial" w:cs="Arial" w:eastAsia="Arial" w:hAnsi="Arial"/>
                <w:sz w:val="18"/>
                <w:szCs w:val="18"/>
                <w:color w:val="auto"/>
              </w:rPr>
              <w:t>$3.3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198.5</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194.8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8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$164.1 million at December 31, 2010, and $176.7 million at September 30, 2011.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NOTE 5 – OTHER INVESTMENTS.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7280" w:type="dxa"/>
            <w:vAlign w:val="bottom"/>
            <w:gridSpan w:val="2"/>
          </w:tcPr>
          <w:p>
            <w:pPr>
              <w:spacing w:after="0"/>
              <w:rPr>
                <w:sz w:val="20"/>
                <w:szCs w:val="20"/>
                <w:color w:val="auto"/>
              </w:rPr>
            </w:pPr>
            <w:r>
              <w:rPr>
                <w:rFonts w:ascii="Arial" w:cs="Arial" w:eastAsia="Arial" w:hAnsi="Arial"/>
                <w:sz w:val="18"/>
                <w:szCs w:val="18"/>
                <w:color w:val="auto"/>
              </w:rPr>
              <w:t>These investments (in millions) include: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12/31/2010</w:t>
            </w:r>
          </w:p>
        </w:tc>
        <w:tc>
          <w:tcPr>
            <w:tcW w:w="1200" w:type="dxa"/>
            <w:vAlign w:val="bottom"/>
            <w:gridSpan w:val="3"/>
          </w:tcPr>
          <w:p>
            <w:pPr>
              <w:jc w:val="right"/>
              <w:ind w:right="1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Cost method investments</w:t>
            </w: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10% interest in Daiwa SB Investments Ltd. (Japan)</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13.6</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209.7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8" w:name="page9"/>
    <w:bookmarkEnd w:id="8"/>
    <w:p>
      <w:pPr>
        <w:ind w:left="800" w:right="140" w:hanging="21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 2 – observable inputs other than level 1 quoted prices including, but not limited to, quoted prices for similar securities, interest rates, prepayment speeds, and credit risk. These inputs are based on market data obtained from independent sources.</w:t>
      </w:r>
    </w:p>
    <w:p>
      <w:pPr>
        <w:ind w:left="800" w:right="240" w:hanging="211"/>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 following table summarizes our investments (in millions) that are recognized in our balance sheet using fair value measurements determined based on the differing levels of inputs. There have been no transfers in or out of the levels.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2"/>
              </w:rPr>
              <w:t>Level 1</w:t>
            </w:r>
          </w:p>
        </w:tc>
        <w:tc>
          <w:tcPr>
            <w:tcW w:w="24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tcBorders>
              <w:top w:val="single" w:sz="8" w:color="CCEEFF"/>
            </w:tcBorders>
            <w:gridSpan w:val="3"/>
            <w:shd w:val="clear" w:color="auto" w:fill="CCEEFF"/>
          </w:tcPr>
          <w:p>
            <w:pPr>
              <w:spacing w:after="0" w:line="157" w:lineRule="exact"/>
              <w:rPr>
                <w:sz w:val="20"/>
                <w:szCs w:val="20"/>
                <w:color w:val="auto"/>
              </w:rPr>
            </w:pPr>
            <w:r>
              <w:rPr>
                <w:rFonts w:ascii="Arial" w:cs="Arial" w:eastAsia="Arial" w:hAnsi="Arial"/>
                <w:sz w:val="18"/>
                <w:szCs w:val="18"/>
                <w:color w:val="auto"/>
              </w:rPr>
              <w:t>December 31, 2010</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Cash equivalents</w:t>
            </w:r>
          </w:p>
        </w:tc>
        <w:tc>
          <w:tcPr>
            <w:tcW w:w="52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726.9</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ind w:left="280"/>
              <w:spacing w:after="0"/>
              <w:rPr>
                <w:sz w:val="20"/>
                <w:szCs w:val="20"/>
                <w:color w:val="auto"/>
              </w:rPr>
            </w:pPr>
            <w:r>
              <w:rPr>
                <w:rFonts w:ascii="Arial" w:cs="Arial" w:eastAsia="Arial" w:hAnsi="Arial"/>
                <w:sz w:val="18"/>
                <w:szCs w:val="18"/>
                <w:color w:val="auto"/>
              </w:rPr>
              <w:t>Held as available-for-sale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Held as trading</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Debt securities held by savings bank subsidiary</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4"/>
            <w:vMerge w:val="restart"/>
          </w:tcPr>
          <w:p>
            <w:pPr>
              <w:spacing w:after="0"/>
              <w:rPr>
                <w:sz w:val="20"/>
                <w:szCs w:val="20"/>
                <w:color w:val="auto"/>
              </w:rPr>
            </w:pPr>
            <w:r>
              <w:rPr>
                <w:rFonts w:ascii="Arial" w:cs="Arial" w:eastAsia="Arial" w:hAnsi="Arial"/>
                <w:sz w:val="18"/>
                <w:szCs w:val="18"/>
                <w:color w:val="auto"/>
              </w:rPr>
              <w:t>September 30, 2011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Held as available-for-sale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ind w:left="280"/>
              <w:spacing w:after="0"/>
              <w:rPr>
                <w:sz w:val="20"/>
                <w:szCs w:val="20"/>
                <w:color w:val="auto"/>
              </w:rPr>
            </w:pPr>
            <w:r>
              <w:rPr>
                <w:rFonts w:ascii="Arial" w:cs="Arial" w:eastAsia="Arial" w:hAnsi="Arial"/>
                <w:sz w:val="18"/>
                <w:szCs w:val="18"/>
                <w:color w:val="auto"/>
              </w:rPr>
              <w:t>Held as trading</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7 – COMMON STOCK REPURCHASES.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September 30, 2011, accounts payable and accrued expenses includes $8.6 million representing the liability for common stock repurchases that settled the first week of October.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2"/>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year</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37,759,580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Semiannual grants</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5,793,805</w:t>
            </w: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65,857</w:t>
            </w:r>
          </w:p>
        </w:tc>
        <w:tc>
          <w:tcPr>
            <w:tcW w:w="12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New hire grants</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23,850</w:t>
            </w: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8,000</w:t>
            </w:r>
          </w:p>
        </w:tc>
        <w:tc>
          <w:tcPr>
            <w:tcW w:w="12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(2,976,531)</w:t>
            </w: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(312,410)</w:t>
            </w:r>
          </w:p>
        </w:tc>
        <w:tc>
          <w:tcPr>
            <w:tcW w:w="12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$48.08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(137,778)</w:t>
            </w: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40,224,373</w:t>
            </w:r>
          </w:p>
        </w:tc>
        <w:tc>
          <w:tcPr>
            <w:tcW w:w="12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$44.93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period</w:t>
            </w: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232"/>
              <w:spacing w:after="0"/>
              <w:rPr>
                <w:sz w:val="20"/>
                <w:szCs w:val="20"/>
                <w:color w:val="auto"/>
              </w:rPr>
            </w:pPr>
            <w:r>
              <w:rPr>
                <w:rFonts w:ascii="Arial" w:cs="Arial" w:eastAsia="Arial" w:hAnsi="Arial"/>
                <w:sz w:val="18"/>
                <w:szCs w:val="18"/>
                <w:color w:val="auto"/>
                <w:w w:val="87"/>
              </w:rPr>
              <w:t>$40.12</w:t>
            </w:r>
          </w:p>
        </w:tc>
        <w:tc>
          <w:tcPr>
            <w:tcW w:w="0" w:type="dxa"/>
            <w:vAlign w:val="bottom"/>
          </w:tcPr>
          <w:p>
            <w:pPr>
              <w:spacing w:after="0" w:line="20" w:lineRule="exact"/>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20,619,016</w:t>
            </w: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280" w:right="29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status of and changes in our nonvested restricted shares and restricted stock units during the first nine months of 2011.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Restricted</w:t>
            </w: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Restricted</w:t>
            </w: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stock</w:t>
            </w:r>
          </w:p>
        </w:tc>
        <w:tc>
          <w:tcPr>
            <w:tcW w:w="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Weighted-average</w:t>
            </w:r>
          </w:p>
        </w:tc>
      </w:tr>
      <w:tr>
        <w:trPr>
          <w:trHeight w:val="222"/>
        </w:trPr>
        <w:tc>
          <w:tcPr>
            <w:tcW w:w="20" w:type="dxa"/>
            <w:vAlign w:val="bottom"/>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units</w:t>
            </w:r>
          </w:p>
        </w:tc>
        <w:tc>
          <w:tcPr>
            <w:tcW w:w="3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fair value</w:t>
            </w: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Nonvested at beginning of year</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638,532</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368,201</w:t>
            </w: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$46.92</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080" w:type="dxa"/>
            <w:vAlign w:val="bottom"/>
          </w:tcPr>
          <w:p>
            <w:pPr>
              <w:ind w:left="360"/>
              <w:spacing w:after="0"/>
              <w:rPr>
                <w:sz w:val="20"/>
                <w:szCs w:val="20"/>
                <w:color w:val="auto"/>
              </w:rPr>
            </w:pPr>
            <w:r>
              <w:rPr>
                <w:rFonts w:ascii="Arial" w:cs="Arial" w:eastAsia="Arial" w:hAnsi="Arial"/>
                <w:sz w:val="18"/>
                <w:szCs w:val="18"/>
                <w:color w:val="auto"/>
              </w:rPr>
              <w:t>258,375</w:t>
            </w:r>
          </w:p>
        </w:tc>
        <w:tc>
          <w:tcPr>
            <w:tcW w:w="1420" w:type="dxa"/>
            <w:vAlign w:val="bottom"/>
            <w:gridSpan w:val="2"/>
          </w:tcPr>
          <w:p>
            <w:pPr>
              <w:ind w:left="720"/>
              <w:spacing w:after="0"/>
              <w:rPr>
                <w:sz w:val="20"/>
                <w:szCs w:val="20"/>
                <w:color w:val="auto"/>
              </w:rPr>
            </w:pPr>
            <w:r>
              <w:rPr>
                <w:rFonts w:ascii="Arial" w:cs="Arial" w:eastAsia="Arial" w:hAnsi="Arial"/>
                <w:sz w:val="18"/>
                <w:szCs w:val="18"/>
                <w:color w:val="auto"/>
              </w:rPr>
              <w:t>142,650</w:t>
            </w:r>
          </w:p>
        </w:tc>
        <w:tc>
          <w:tcPr>
            <w:tcW w:w="200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$60.38</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(12,975)</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8"/>
              </w:rPr>
              <w:t>(17,032)</w:t>
            </w:r>
          </w:p>
        </w:tc>
        <w:tc>
          <w:tcPr>
            <w:tcW w:w="200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$52.19</w:t>
            </w: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(21,492)</w:t>
            </w:r>
          </w:p>
        </w:tc>
        <w:tc>
          <w:tcPr>
            <w:tcW w:w="360" w:type="dxa"/>
            <w:vAlign w:val="bottom"/>
          </w:tcPr>
          <w:p>
            <w:pPr>
              <w:spacing w:after="0"/>
              <w:rPr>
                <w:sz w:val="19"/>
                <w:szCs w:val="19"/>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(38,103)</w:t>
            </w:r>
          </w:p>
        </w:tc>
        <w:tc>
          <w:tcPr>
            <w:tcW w:w="200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$47.77</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862,440</w:t>
            </w:r>
          </w:p>
        </w:tc>
        <w:tc>
          <w:tcPr>
            <w:tcW w:w="1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455,716</w:t>
            </w:r>
          </w:p>
        </w:tc>
        <w:tc>
          <w:tcPr>
            <w:tcW w:w="200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$50.86</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September 30, 2011.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2013 through 2016</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3"/>
              </w:rPr>
              <w:t>183.3</w:t>
            </w:r>
          </w:p>
        </w:tc>
        <w:tc>
          <w:tcPr>
            <w:tcW w:w="8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9 – EARNINGS PER SHARE CALCULATIONS.</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4"/>
          </w:tcPr>
          <w:p>
            <w:pPr>
              <w:jc w:val="right"/>
              <w:ind w:right="37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ind w:left="3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7"/>
              </w:rPr>
              <w:t>9/30/2010</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9/30/2011</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7"/>
              </w:rPr>
              <w:t>9/30/2010</w:t>
            </w:r>
          </w:p>
        </w:tc>
        <w:tc>
          <w:tcPr>
            <w:tcW w:w="2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9/30/2011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net income allocated to outstanding restricted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320" w:type="dxa"/>
            <w:vAlign w:val="bottom"/>
            <w:gridSpan w:val="2"/>
          </w:tcPr>
          <w:p>
            <w:pPr>
              <w:spacing w:after="0"/>
              <w:rPr>
                <w:sz w:val="20"/>
                <w:szCs w:val="20"/>
                <w:color w:val="auto"/>
              </w:rPr>
            </w:pPr>
            <w:r>
              <w:rPr>
                <w:rFonts w:ascii="Arial" w:cs="Arial" w:eastAsia="Arial" w:hAnsi="Arial"/>
                <w:sz w:val="18"/>
                <w:szCs w:val="18"/>
                <w:color w:val="auto"/>
              </w:rPr>
              <w:t>stock and stock unit holders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255.5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253.7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257.3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280"/>
              <w:spacing w:after="0"/>
              <w:rPr>
                <w:sz w:val="20"/>
                <w:szCs w:val="20"/>
                <w:color w:val="auto"/>
              </w:rPr>
            </w:pPr>
            <w:r>
              <w:rPr>
                <w:rFonts w:ascii="Arial" w:cs="Arial" w:eastAsia="Arial" w:hAnsi="Arial"/>
                <w:sz w:val="18"/>
                <w:szCs w:val="18"/>
                <w:color w:val="auto"/>
              </w:rPr>
              <w:t>Outstanding assuming dilution</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261.8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264.6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weighted average outstanding stock options (in millions) excluded from the calculation of diluted earnings per share on our common stock as the inclusion of such shares would be anti-dilutive and their average exercise price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Pr>
          <w:p>
            <w:pPr>
              <w:spacing w:after="0"/>
              <w:rPr>
                <w:sz w:val="19"/>
                <w:szCs w:val="19"/>
                <w:color w:val="auto"/>
              </w:rPr>
            </w:pPr>
          </w:p>
        </w:tc>
        <w:tc>
          <w:tcPr>
            <w:tcW w:w="2440" w:type="dxa"/>
            <w:vAlign w:val="bottom"/>
            <w:gridSpan w:val="3"/>
          </w:tcPr>
          <w:p>
            <w:pPr>
              <w:jc w:val="right"/>
              <w:ind w:right="412"/>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9"/>
                <w:szCs w:val="19"/>
                <w:color w:val="auto"/>
              </w:rPr>
            </w:pPr>
          </w:p>
        </w:tc>
        <w:tc>
          <w:tcPr>
            <w:tcW w:w="2440" w:type="dxa"/>
            <w:vAlign w:val="bottom"/>
            <w:gridSpan w:val="4"/>
          </w:tcPr>
          <w:p>
            <w:pPr>
              <w:ind w:left="4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1"/>
        </w:trPr>
        <w:tc>
          <w:tcPr>
            <w:tcW w:w="6220" w:type="dxa"/>
            <w:vAlign w:val="bottom"/>
          </w:tcPr>
          <w:p>
            <w:pPr>
              <w:spacing w:after="0"/>
              <w:rPr>
                <w:sz w:val="18"/>
                <w:szCs w:val="18"/>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7"/>
              </w:rPr>
              <w:t>9/30/2010</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9/30/2011</w:t>
            </w:r>
          </w:p>
        </w:tc>
        <w:tc>
          <w:tcPr>
            <w:tcW w:w="320" w:type="dxa"/>
            <w:vAlign w:val="bottom"/>
          </w:tcPr>
          <w:p>
            <w:pPr>
              <w:spacing w:after="0"/>
              <w:rPr>
                <w:sz w:val="18"/>
                <w:szCs w:val="18"/>
                <w:color w:val="auto"/>
              </w:rPr>
            </w:pPr>
          </w:p>
        </w:tc>
        <w:tc>
          <w:tcPr>
            <w:tcW w:w="10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7"/>
              </w:rPr>
              <w:t>9/30/2010</w:t>
            </w:r>
          </w:p>
        </w:tc>
        <w:tc>
          <w:tcPr>
            <w:tcW w:w="128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outstanding stock options excluded</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Average exercise price</w:t>
            </w: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$51.48</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$58.64</w:t>
            </w:r>
          </w:p>
        </w:tc>
        <w:tc>
          <w:tcPr>
            <w:tcW w:w="1380" w:type="dxa"/>
            <w:vAlign w:val="bottom"/>
            <w:gridSpan w:val="2"/>
          </w:tcPr>
          <w:p>
            <w:pPr>
              <w:jc w:val="right"/>
              <w:ind w:right="32"/>
              <w:spacing w:after="0"/>
              <w:rPr>
                <w:sz w:val="20"/>
                <w:szCs w:val="20"/>
                <w:color w:val="auto"/>
              </w:rPr>
            </w:pPr>
            <w:r>
              <w:rPr>
                <w:rFonts w:ascii="Arial" w:cs="Arial" w:eastAsia="Arial" w:hAnsi="Arial"/>
                <w:sz w:val="18"/>
                <w:szCs w:val="18"/>
                <w:color w:val="auto"/>
              </w:rPr>
              <w:t>$52.09</w:t>
            </w: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NOTE 10 – COMPREHENSIVE INCOME AND ACCUMULATED OTHER COMPREHENSIVE INCOME.</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8900" w:type="dxa"/>
            <w:vAlign w:val="bottom"/>
          </w:tcPr>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8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5"/>
          </w:tcPr>
          <w:p>
            <w:pPr>
              <w:ind w:left="180"/>
              <w:spacing w:after="0"/>
              <w:rPr>
                <w:sz w:val="20"/>
                <w:szCs w:val="20"/>
                <w:color w:val="auto"/>
              </w:rPr>
            </w:pPr>
            <w:r>
              <w:rPr>
                <w:rFonts w:ascii="Arial" w:cs="Arial" w:eastAsia="Arial" w:hAnsi="Arial"/>
                <w:sz w:val="18"/>
                <w:szCs w:val="18"/>
                <w:color w:val="auto"/>
              </w:rPr>
              <w:t>Nine months ended</w:t>
            </w:r>
          </w:p>
        </w:tc>
      </w:tr>
      <w:tr>
        <w:trPr>
          <w:trHeight w:val="211"/>
        </w:trPr>
        <w:tc>
          <w:tcPr>
            <w:tcW w:w="89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9/30/2010</w:t>
            </w:r>
          </w:p>
        </w:tc>
        <w:tc>
          <w:tcPr>
            <w:tcW w:w="3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87"/>
              </w:rPr>
              <w:t>9/30/2011</w:t>
            </w:r>
          </w:p>
        </w:tc>
        <w:tc>
          <w:tcPr>
            <w:tcW w:w="100" w:type="dxa"/>
            <w:vAlign w:val="bottom"/>
            <w:tcBorders>
              <w:bottom w:val="single" w:sz="8" w:color="CCEEFF"/>
            </w:tcBorders>
          </w:tcPr>
          <w:p>
            <w:pPr>
              <w:spacing w:after="0"/>
              <w:rPr>
                <w:sz w:val="18"/>
                <w:szCs w:val="18"/>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480.6</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10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sponsored mutual funds: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00"/>
              <w:spacing w:after="0"/>
              <w:rPr>
                <w:sz w:val="20"/>
                <w:szCs w:val="20"/>
                <w:color w:val="auto"/>
              </w:rPr>
            </w:pPr>
            <w:r>
              <w:rPr>
                <w:rFonts w:ascii="Arial" w:cs="Arial" w:eastAsia="Arial" w:hAnsi="Arial"/>
                <w:sz w:val="18"/>
                <w:szCs w:val="18"/>
                <w:color w:val="auto"/>
              </w:rPr>
              <w:t>Net unrealized holding gains (losses)</w:t>
            </w:r>
          </w:p>
        </w:tc>
        <w:tc>
          <w:tcPr>
            <w:tcW w:w="36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900" w:type="dxa"/>
            <w:vAlign w:val="bottom"/>
          </w:tcPr>
          <w:p>
            <w:pPr>
              <w:ind w:left="300"/>
              <w:spacing w:after="0"/>
              <w:rPr>
                <w:sz w:val="20"/>
                <w:szCs w:val="20"/>
                <w:color w:val="auto"/>
              </w:rPr>
            </w:pPr>
            <w:r>
              <w:rPr>
                <w:rFonts w:ascii="Arial" w:cs="Arial" w:eastAsia="Arial" w:hAnsi="Arial"/>
                <w:sz w:val="18"/>
                <w:szCs w:val="18"/>
                <w:color w:val="auto"/>
              </w:rPr>
              <w:t>Deferred tax benefits (income taxes)</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unrealized holding gains (losses) recognized in other comprehensive income</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unrealized holding gains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890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UTI Asset Management Company Limited</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00"/>
              <w:spacing w:after="0"/>
              <w:rPr>
                <w:sz w:val="20"/>
                <w:szCs w:val="20"/>
                <w:color w:val="auto"/>
              </w:rPr>
            </w:pPr>
            <w:r>
              <w:rPr>
                <w:rFonts w:ascii="Arial" w:cs="Arial" w:eastAsia="Arial" w:hAnsi="Arial"/>
                <w:sz w:val="18"/>
                <w:szCs w:val="18"/>
                <w:color w:val="auto"/>
              </w:rPr>
              <w:t>Change in currency translation adjustment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tax benefits</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Total currency translation adjustment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16"/>
        </w:trPr>
        <w:tc>
          <w:tcPr>
            <w:tcW w:w="8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495.9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 for the third quarter was $203.0 million in 2010 and $123.7 million in 2011.</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currency translation adjustment results from translating our proportionate share of the financial statements of UTI, our equity method investment, into U.S. dollars. Assets and liabilities are translated into U.S. dollars using quarter-end exchange rates, and revenues and expenses are translated using weighted-average exchange rates for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(in millions) at September 30, 2011, are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color w:val="auto"/>
              </w:rPr>
              <w:t>Investments in sponsored mutual funds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146.2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1"/>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149.9</w:t>
            </w:r>
          </w:p>
        </w:tc>
        <w:tc>
          <w:tcPr>
            <w:tcW w:w="100" w:type="dxa"/>
            <w:vAlign w:val="bottom"/>
          </w:tcPr>
          <w:p>
            <w:pPr>
              <w:spacing w:after="0"/>
              <w:rPr>
                <w:sz w:val="19"/>
                <w:szCs w:val="19"/>
                <w:color w:val="auto"/>
              </w:rPr>
            </w:pPr>
          </w:p>
        </w:tc>
      </w:tr>
      <w:tr>
        <w:trPr>
          <w:trHeight w:val="21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(58.0)</w:t>
            </w:r>
          </w:p>
        </w:tc>
        <w:tc>
          <w:tcPr>
            <w:tcW w:w="100" w:type="dxa"/>
            <w:vAlign w:val="bottom"/>
            <w:shd w:val="clear" w:color="auto" w:fill="CCEEFF"/>
          </w:tcPr>
          <w:p>
            <w:pPr>
              <w:spacing w:after="0"/>
              <w:rPr>
                <w:sz w:val="18"/>
                <w:szCs w:val="18"/>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2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r>
      <w:tr>
        <w:trPr>
          <w:trHeight w:val="218"/>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income taxes of $1.7 million</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2011, the related condensed consolidated statements of income for the three- and nine-month periods ended September 30, 2011 and 2010, the related condensed consolidated statement of stockholders’ equity for the nine-month period ended September 30, 2011 and the related condensed consolidated statements of cash flows for the nine-month periods ended September 30, 2011 and 2010. These condensed consolidated financial statements are the responsibility of the Company’s management.</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2010, and the related consolidated statements of income, stockholders’ equity, and cash flows for the year then ended (not presented herein); and in our report dated February 8, 2011,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domiciled outside the United States account for more than 11% of our assets under management at September 30, 2011.</w:t>
      </w:r>
    </w:p>
    <w:p>
      <w:pPr>
        <w:spacing w:after="0" w:line="14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nine months of 2011, we repurchased 8.5 million shares of our common stock for $470.2 million, including 4.5 million for $229.0 million in the third quarter of 2011. We funded these repurchases with existing cash balances and cash from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Several major concerns continued to weigh on investor confidence in the third quarter of 2011, including the sluggish economic recoveries in many developed countries, the European debt crisis, a divided U.S. Congress struggling to reach an agreement on deficit reduction and raising the statutory federal debt ceiling, and inflation in emerging markets. By the end of July, the uncertainties surrounding these macro concerns turned investors decidedly defensive and in search of less-risky investments. Market volatility and selling pressure only increased after Standard &amp; Poor’s downgraded the U.S. government’s long-term sovereign credit rating in early August. Global markets have rebounded somewhat early in the fourth quarter; however, prolonged strong economic and geopolitical headwinds could continue to weigh on investors in the near-term.</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these uncertainties, all major U.S. stock indexes fell sharply in the third quarter. Declines for the S&amp;P 500 Index, the Russell 2000 Index, which measures the performance of small-cap U.S. companies, and the NASDAQ Composite Index, which is heavily weighted in technology companies, were 13.9%, 21.9% and 12.9% (excluding dividends), respectively. These declines erased the solid returns experienced through the first half of 2011. For the first nine months of the year, the S&amp;P 500 is down 8.7%, the Russell 2000 decreased 17.0%, and the NASDAQ Composite declined 9.0%.</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third quarter was also one of the most volatile periods for stocks outside the U.S. in recent market history. European stocks fell sharply and every emerging market region fell more than 20%. Specifically, the MSCI EAFE Index, which measures the performance of mostly large-cap stocks in Europe, Australasia and the Far East, declined 19.0%, and the MSCI Emerging Markets Index declined 22.5% over the quarter. These indexes have now declined 14.6% and 21.7%, respectively, for the first nine months of 2011.</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S&amp;P downgrade, U.S. Treasury yields plunged to historic lows and prices soared as investors sought the safety of these securities. In the face of evidence that the U.S. economy slowed substantially in the first half of the year, and increasing fears that a double-dip recession could be on the horizon, the Federal Reserve continued to employ monetary policies in an attempt to moderate the downside risk in the U.S. economy. These measures included the announcements to hold the federal funds target rate near 0% until at least mid-2013, trade short-term Treasury holdings for longer-term issues, and resume mortgage-backed security purchases. The yield on the benchmark 10-year Treasury bond declined 126 basis points from June 30, 2011 to 1.92% at September 30, 2011.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13" w:name="page14"/>
    <w:bookmarkEnd w:id="13"/>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Bonds registered positive overall returns in the third quarter, as strong gains among long-term government bonds compensated for weaker performance in other categories. Municipal and investment-grade corporate bonds fared well, while high yield issues suffered sharp losses that left them in negative territory for the first nine months of the year. The Barclays Capital U.S. Aggregate Index gained 3.8% in the quarter and 6.7% for the first nine months of 2011. The Credit Suisse High Yield Index declined 5.1% in the third quarter, and is down 0.5% year-to-date. The Barclays Capital Global Aggregate Ex-US Dollar Bond Index declined</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.7% in the third quarter of 2011, as a stronger U.S. dollar versus other currencies reduced the return in dollar terms, and the J.P. Morgan Emerging Markets Index Plus declined 1.2%.</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This unsettled market environment led to a reduction in our assets under management in the third quarter of 2011, including $2.6 billion in net cash outflows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investors looked to reduce risk from their portfolios. Our assets under management totaled $453.5 billion at the end of the third quarter of 2011,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$67.4 billion from the $520.9 billion at June 30, 2011, and a decrease of $28.5 billion from the beginning of the year. The change (in billions) in 2011 occurred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First nine</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88"/>
              </w:rPr>
              <w:t>Quarter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88"/>
              </w:rPr>
              <w:t>Quarter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88"/>
              </w:rPr>
              <w:t>Quarter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months</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95"/>
              </w:rPr>
              <w:t>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95"/>
              </w:rPr>
              <w:t>ended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95"/>
              </w:rPr>
              <w:t>ended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ended</w:t>
            </w: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3/31/2011</w:t>
            </w:r>
          </w:p>
        </w:tc>
        <w:tc>
          <w:tcPr>
            <w:tcW w:w="1500" w:type="dxa"/>
            <w:vAlign w:val="bottom"/>
            <w:gridSpan w:val="3"/>
          </w:tcPr>
          <w:p>
            <w:pPr>
              <w:jc w:val="right"/>
              <w:ind w:right="52"/>
              <w:spacing w:after="0"/>
              <w:rPr>
                <w:sz w:val="20"/>
                <w:szCs w:val="20"/>
                <w:color w:val="auto"/>
              </w:rPr>
            </w:pPr>
            <w:r>
              <w:rPr>
                <w:rFonts w:ascii="Arial" w:cs="Arial" w:eastAsia="Arial" w:hAnsi="Arial"/>
                <w:sz w:val="18"/>
                <w:szCs w:val="18"/>
                <w:color w:val="auto"/>
              </w:rPr>
              <w:t>6/30/2011</w:t>
            </w:r>
          </w:p>
        </w:tc>
        <w:tc>
          <w:tcPr>
            <w:tcW w:w="1520" w:type="dxa"/>
            <w:vAlign w:val="bottom"/>
            <w:gridSpan w:val="3"/>
          </w:tcPr>
          <w:p>
            <w:pPr>
              <w:jc w:val="right"/>
              <w:ind w:right="52"/>
              <w:spacing w:after="0"/>
              <w:rPr>
                <w:sz w:val="20"/>
                <w:szCs w:val="20"/>
                <w:color w:val="auto"/>
              </w:rPr>
            </w:pPr>
            <w:r>
              <w:rPr>
                <w:rFonts w:ascii="Arial" w:cs="Arial" w:eastAsia="Arial" w:hAnsi="Arial"/>
                <w:sz w:val="18"/>
                <w:szCs w:val="18"/>
                <w:color w:val="auto"/>
              </w:rPr>
              <w:t>9/30/2011</w:t>
            </w:r>
          </w:p>
        </w:tc>
        <w:tc>
          <w:tcPr>
            <w:tcW w:w="1500" w:type="dxa"/>
            <w:vAlign w:val="bottom"/>
            <w:gridSpan w:val="3"/>
          </w:tcPr>
          <w:p>
            <w:pPr>
              <w:jc w:val="right"/>
              <w:ind w:right="32"/>
              <w:spacing w:after="0"/>
              <w:rPr>
                <w:sz w:val="20"/>
                <w:szCs w:val="20"/>
                <w:color w:val="auto"/>
              </w:rPr>
            </w:pPr>
            <w:r>
              <w:rPr>
                <w:rFonts w:ascii="Arial" w:cs="Arial" w:eastAsia="Arial" w:hAnsi="Arial"/>
                <w:sz w:val="18"/>
                <w:szCs w:val="18"/>
                <w:color w:val="auto"/>
              </w:rPr>
              <w:t>9/30/2011</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Assets under management at beginning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482.0</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509.9</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520.9</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Net cash inflows (outflows)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22.1</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(64.8)</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27.9</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509.9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520.9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453.5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Assets under management at September 30, 2011, include $322.9 billion in stock and blended asset investment portfolios and $130.6 billion in fixed income investment portfolios. The investment portfolios that we manage consist of $266.6 billion in the T. Rowe Price mutual funds distributed in the U.S. and $186.9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2011 versus third quarter 2010.</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Investment advisory revenues increased 15.0%, or $75.5 million, to $578.0 million in the third quarter of 2011 as average assets under our management increased $74.4 billion over the prior year’s quarterly average to $490.5 billion. The third quarter of 2011 advisory fees include money market fee waivers of $10.7 million, an increase of $5.5 million from the comparable 2010 period, as we continue to waive fees in order to maintain positive yield for fund investors in this prolonged low interest rate environment. The increase in such fee waivers, decreased equity valuations and a greater percentage of our assets under management being attributable to lower fee products have all contributed to the reduction in our average annualized advisory fee rate to 46.8 basis points from the 47.9 basis points earned in the third quarter of 2010. We expect our investment advisory revenues in the fourth quarter of 2011 to continue to moderate, as the market depreciation experienced in the third quarter of 2011 could affect our average assets under management, the basis on which we calculate revenue. We anticipate that the money market fee waivers will continue for the remainder of the year and into 2012.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revenues increased $93.3 million, or 15.9%, to $679.4 million. Operating expenses of $384.2 million in the third quarter of 2011 were up $60.0 million, or 18.5% from the comparable 2010 quarter. Overall, net operating income of $295.2 million for the third quarter of 2011 was 12.7% higher than the $261.9 million earned in the 2010 quarter. Higher operating expenses in 2011 and sharp decreases in market valuations during the third quarter of 2011, which slowed revenue growth in the quarter, resulted in our operating margin declining to 43.5% from 44.7% in the comparable 2010 quarter. Net income increased $16.4 million from the third quarter of 2010 to $185.5 million, and diluted earnings per share on our common stock increased 10.9% to $.71 from the $.64 earned in the comparable 2010 quarter.</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15.6%, or $53.6 million, to $397.8 million. Average mutual fund assets under management in the third quarter of 2011 were $288.3 billion, an increase of 17.2% from the average for the comparable 2010 quarter. Mutual fund assets at September 30, 2011 were $266.6 billion, down $39.0 billion from the end of June 2011, and down $21.7 billion from the average mutual fund asset balances in the third quarter of 2011.</w:t>
      </w:r>
    </w:p>
    <w:p>
      <w:pPr>
        <w:spacing w:after="0" w:line="14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Net outflows from the sponsored mutual funds were $200 million during the third quarter of 2011. Net inflows of $1.2 billion added to the stock and blended asset funds and $.6 billion added to the money market funds were more than offset by the $2.0 billion in net outflows from the bond funds. These specific asset class flows were primarily a result of rebalancing activities within our target-date retirement funds. These target-date retirement funds continue to be a steady source of assets under management as net inflows of $1.6 billion originated in these funds during the third quarter of 2011. Lower market valuations, net of income, reduced our mutual fund assets under management by $38.8 billion during the third quarter of 2011.</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Investment advisory revenues earned on the other investment portfolios that we manage increased $21.9 million, or 14%, from the third quarter of 2010, to $180.2 million. Average assets in these portfolios were $202.2 billion during the third quarter of 2011, an increase of $32.0 billion, or 18.8%, from the 2010 quarter. Ending assets at September 30, 2011 were $186.9 billion, a decrease of $28.4 billion from the end of June 2011, and down $15.3 billion from the third quarter of 2011 average balances. Net outflows for the third quarter of 2011 of $2.4 billion resulted primarily from certain third party financial intermediaries and institutional investors reducing risk in their portfolios in the wake of the volatile market environment experienced during the third quarter of 2011. Market depreciation, net of income, reduced assets under management in these portfolios by $26.0 billion.</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Administrative fees were up $17.9 million, or 21.6%, from the third quarter of 2010, including a $6.3 million increase in our mutual fund servicing revenue that is generally offset by a similar charge in the related operating expenses that are incurred to provide such services. The change also includes an increase of $9.7 million in 12b-1 distribution and service fees earned on the Advisor and R classes of our sponsored mutual funds, and is entirely offset by the increase in related operating expenses incurred to distribute Advisor and R class shares through third party intermediaries. The increase in 12b-1 fees includes $2.2 million based on greater fund assets under management, and $7.5 million earned on R class shares in the third quarter of 2011 for which the comparable 2010 quarter fees were netted against related distribution expenses.</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and related costs increased $37.4 million, or 17.5%, compared to the third quarter of 2010, including a $14.3 million increase in the accrual for our annual variable compensation programs, which are based on our operating results and other factors such as our relative risk-adjusted investment performance, and the quality of our client service. The change also includes an increase of $13.3 million in salaries expense and employee benefits from the 2010 quarter, resulting from a 5.8% increase in the average number of associates, coupled with an increase in our associates’ base salaries at the beginning of the year. Increases in temporary staffing to meet increased business demands along with higher non-cash stock-based compensation expense and other employee costs make up the balance of the change from the 2010 period. At September 30, 2011, we employed 5,249 associates, up 3.9% from the 5,052 associated employed at the end of 2010.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280" w:right="25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Advertising and promotion expenditures were $19.0 million, up 2.2%, compared to the third quarter of 2010. Spending on advertising and promotion in the fourth quarter of 2011 is expected to be comparable to the fourth quarter of 2010. We vary our level of spending based on market conditions and investor demand as well as our efforts to expand our investor base in the U.S. and abroad.</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Occupancy and facility costs together with depreciation and amortization expense were up $3.5 million, or 7.9%, versus the 2010 quarter. The change includes the impact of placing our new technology support facility into service in February 2011, as well as the added cost to update our technology capabilities, including related maintenance programs, to meet increasing business demands.</w:t>
      </w:r>
    </w:p>
    <w:p>
      <w:pPr>
        <w:spacing w:after="0" w:line="14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Other operating expenses were up $18.7 million, or 39.6%, from the third quarter of 2010. This change includes an increase of $9.7 million in distribution expenses recognized on fees paid to financial intermediaries for sourcing assets into the Advisor and R classes of the T. Rowe Price funds, and is entirely offset by the increase in administrative revenues from 12b-1 fees. This increase in distribution expenses includes $2.2 million based on greater fund assets under management, and $7.5 million incurred on R class shares in the third quarter of 2011 for which the comparable 2010 expenses were netted against related 12b-1 revenues. The balance of the change is from rising consulting and professional fees, travel expenses, and other costs incurred to meet increased business demands.</w:t>
      </w:r>
    </w:p>
    <w:p>
      <w:pPr>
        <w:spacing w:after="0" w:line="10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non-operating investment activity, which includes interest income as well as the recognition of investment gains and losses, was down $7.6 million from the comparable 2010 quarter. The third quarter of 2010 includes $3.8 million in realized gains on the sale of our mutual fund investments that did not reoccur in the 2011 quarter. We recognized $.6 million in foreign currency transaction losses in the third quarter of 2011 as the U.S. dollar strengthened against other currencies compared to $1.2 million in gains in the comparable prior year’s quarter. The change also includes $1.2 million in unrealized holding losses recognized in the third quarter of 2011 on our mutual fund investments held as trading investments. Earnings from our investment in UTI were $1.5 million in the third quarter of 2011, compared to $1.8 million in the 2010 quarter.</w:t>
      </w:r>
    </w:p>
    <w:p>
      <w:pPr>
        <w:spacing w:after="0" w:line="120"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provision for income taxes as a percentage of pretax income for the third quarter of 2011 is 37.4%, as a lower statutory tax rate in the U.K. as well as a reduction in our effective U.S. state tax rate have together decreased our estimated rate for the full-year 2011 to 38.0% from our previous estimate of 38.2%.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2011 versus first nine months of 2010.</w:t>
      </w:r>
    </w:p>
    <w:p>
      <w:pPr>
        <w:spacing w:after="0" w:line="17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Investment advisory revenues were up 21.3%, or $312.2 million, to nearly $1.8 billion as average assets under our management increased $92.4 billion to $501.3 billion. We waived $26.0 million in money market advisory fees in the first nine months of 2011, an increase of $7.6 million from the $18.4 million waived in the first nine months of 2010. The average annualized fee rate earned on our assets under management was 47.4 basis points during the first nine months of 2011, as compared to the 47.9 basis points earned during the comparable 2010 period.</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revenues increased 20.7%, or $355.8 million, to nearly $2.1 billion. Operating expenses were about $1.1 billion in the first nine months of 2011, up 18.2% or $176.2 million from the 2010 period. Overall, net operating income for the 2011 year-to-date period increased $179.6 million, or 23.8%, to $933.3 million. The increase in our average assets under management and resulting advisory revenue increased our operating margin for the first nine months of 2011 to 45.0% from 43.8% in the comparable 2010 period. Net income increased $104.2 million, or 21.7%, to $584.8 million for the first nine months of 2011, boosting diluted earnings per share up 21.5% to $2.20 from $1.81.</w:t>
      </w:r>
    </w:p>
    <w:p>
      <w:pPr>
        <w:spacing w:after="0" w:line="14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20.2%, or $204.0 million, to $1.2 billion. Average mutual fund assets were $294.3 billion during the first nine months of 2011, an increase of 20.8% over the average for the 2010 period. However, compared to the beginning of the year, mutual fund assets decreased $16.0 billion through September 30, 2011.</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inflows to the mutual funds were $8.8 billion during the first nine months of 2011, including $6.0 billion that originated in our target-date retirement funds. The stock and blended asset funds added net inflows of $6.3 billion, our bond funds added $2.0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80" w:right="239" w:bottom="1440" w:gutter="0" w:footer="0" w:header="0"/>
        </w:sectPr>
      </w:pPr>
    </w:p>
    <w:bookmarkStart w:id="16" w:name="page17"/>
    <w:bookmarkEnd w:id="16"/>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money market funds added $.5 billion. Market appreciation and income experienced through the first half of 2011 was more than offset by the market depreciation in the third quarter of 2011. These lower market valuations, net of income, reduced our fund assets by $24.8 billion in the 2011 period.</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Investment advisory revenues earned on the other investment portfolios that we manage increased $108.2 million, or 23.8%, to $562.1 million on higher average assets under management. Average assets in these portfolios were $207.0 billion during the first nine months of 2011, up 25.2% from the average in the comparable 2010 period. Other investment portfolio assets decreased $12.5 billion in the year-to-date 2011 period, as market depreciation, net of income, of $16.7 billion more than offset the net inflows of $4.2 billion during the period. Strong net inflows into sub-advised funds from third party financial intermediaries and into other sponsored portfolios were partially offset by net outflows from a few institutional investors who either restructured or reduced risk in their equity investment portfolios.</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Administrative fees increased $44.1 million, or 17.6%, to $295.3 million, including $19.7 million from our mutual fund servicing activities. The balance of the increase is primarily attributable to the $22.4 million increase in 12b-1 distribution fees earned on the Advisor and R classes of our sponsored mutual fund shares. The year-to-date 2011 period increase includes $7.3 million based on greater fund assets under management, and $15.1 million earned on R class shares in the second and third quarters of 2011 for which the comparable 2010-quarter fees were netted against related distribution expenses.</w:t>
      </w:r>
    </w:p>
    <w:p>
      <w:pPr>
        <w:spacing w:after="0" w:line="11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Our largest expense, compensation and related costs, increased $106.3 million, or 16.7% to $743.3 million. The largest components of the increase are attributable to a $45.2 million increase to our interim annual variable compensation accrual and an increase of $37.8 million in salaries and related benefits. Our average number of associates has increased 6.2% from the comparable 2010 period. Higher temporary staffing to meet increased business demands along with higher non-cash stock-based compensation expense and other employee costs account for the remainder of the increase in our compensation and related costs.</w:t>
      </w:r>
    </w:p>
    <w:p>
      <w:pPr>
        <w:spacing w:after="0" w:line="9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Occupancy and facility costs together with depreciation expense increased $12.2 million. Our operating costs for technology and other equipment, maintenance and other rented facility costs have increased as we continue to invest in our capabilities to meet increasing business needs.</w:t>
      </w:r>
    </w:p>
    <w:p>
      <w:pPr>
        <w:spacing w:after="0" w:line="8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Other operating expenses were up $54.9 million, or 39.2%, from the first nine months of 2010, including rising consulting and professional fees, information services, travel expenses, and other costs incurred to meet increased business demands. The change also includes an increase of $22.4 million in distribution expenses recognized on fees paid to financial intermediaries for sourcing assets into the Advisor and R classes of the T. Rowe Price funds. This year-to-date increase includes $7.3 million based on greater fund assets under management, and $15.1 million incurred on R class shares in the second and third quarter of 2011 for which the comparable 2010 expenses were netted against related 12b-1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Operating activities during the first nine months of 2011 provided cash flows of $940.5 million, up $229.0 million from the 2010 period, including a $104.2 million increase in net income and a $13.7 million increase in non-cash expenses for depreciation, amortization and stock-based compensation. Timing differences in the cash settlement of our assets and liabilities increased our cash flows by $111.1 million compared to the first nine months of 2010. Our interim operating cash flows do not include variable compensation that is accrued throughout the year before being substantially paid out in December.</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used in investing activities totaled $131.9 million in the first nine months of 2011, a decrease of $133.2 million from the 2010 period. The 2010 period included our $143.6 million purchase of a 26% equity interest in UTI, an India based investment management firm. Our capital spending for property and equipment decreased $51.9 million from the 2010 period primarily because we had substantially completed the construction of our technology support facility in late 2010. These reductions in cash outflows period over period were offset by a $62.0 million increase in net new investments in sponsored mutual funds and in debt securities held by our savings bank subsidiary.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80" w:right="2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used in financing activities was $620.3 million in the first nine months of 2011, up $241.0 million from the 2010 period. A larger number of shares repurchased combined with a higher price per common share resulted in a $221.6 million increase over the comparable 2010 period in the amount expended on stock repurchases. Additionally, dividends paid during the first nine months of 2011 increased $30.4 million from the 2010 period due primarily to a $.04 increase in our quarterly per-share dividend. The increase in the dividends paid and amount expended on share repurchases was partially offset by the change in cash flows from our savings bank deposits.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cash and mutual fund investments at September 30, 2011 were more than $1.7 billion, and we have no debt. We anticipate property and equipment expenditures for the full year 2011 to be about $93 million and expect to fund them from our cash balances. Given the availability of our financial resources, we do not maintain an available external source of liquidity.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May 2011, the FASB issued amended guidance clarifying how to measure and disclose fair value. Although we continue to evaluate the impact, we do not believe the adoption of such amended guidance on January 1, 2012 will have a significant effect on our consolidated financial statements.</w:t>
      </w:r>
    </w:p>
    <w:p>
      <w:pPr>
        <w:spacing w:after="0" w:line="8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have also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expenses in response to market conditions, including our efforts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80" w:right="259" w:bottom="1440" w:gutter="0" w:footer="0" w:header="0"/>
        </w:sectPr>
      </w:pPr>
    </w:p>
    <w:bookmarkStart w:id="18" w:name="page19"/>
    <w:bookmarkEnd w:id="18"/>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2011. Based on that evaluation, our principal executive and principal financial officers have concluded that our disclosure controls and procedures as of September 30, 2011,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2011, and has concluded that there was no change during the third quarter of 2011 that has materially affected, or is reasonably likely to materially affect, our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 activity during the third quarter of 2011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80" w:right="239" w:bottom="1440" w:gutter="0" w:footer="0" w:header="0"/>
        </w:sectPr>
      </w:pPr>
    </w:p>
    <w:bookmarkStart w:id="19" w:name="page20"/>
    <w:bookmarkEnd w:id="19"/>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Total Number of</w:t>
            </w:r>
          </w:p>
        </w:tc>
        <w:tc>
          <w:tcPr>
            <w:tcW w:w="8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Maximum Number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2"/>
              </w:rPr>
              <w:t>Shares Purchased as</w:t>
            </w:r>
          </w:p>
        </w:tc>
        <w:tc>
          <w:tcPr>
            <w:tcW w:w="8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that May Yet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Month</w:t>
            </w:r>
          </w:p>
        </w:tc>
        <w:tc>
          <w:tcPr>
            <w:tcW w:w="80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w w:val="97"/>
              </w:rPr>
              <w:t>Total Number of</w:t>
            </w:r>
          </w:p>
        </w:tc>
        <w:tc>
          <w:tcPr>
            <w:tcW w:w="78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w w:val="93"/>
              </w:rPr>
              <w:t>Average Price</w:t>
            </w:r>
          </w:p>
        </w:tc>
        <w:tc>
          <w:tcPr>
            <w:tcW w:w="8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Part of Publicly</w:t>
            </w:r>
          </w:p>
        </w:tc>
        <w:tc>
          <w:tcPr>
            <w:tcW w:w="8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Be Purchased Under</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w w:val="87"/>
              </w:rPr>
              <w:t>Shares Purchased</w:t>
            </w:r>
          </w:p>
        </w:tc>
        <w:tc>
          <w:tcPr>
            <w:tcW w:w="7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89"/>
              </w:rPr>
              <w:t>Paid per Share</w:t>
            </w:r>
          </w:p>
        </w:tc>
        <w:tc>
          <w:tcPr>
            <w:tcW w:w="8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Announced Program</w:t>
            </w:r>
          </w:p>
        </w:tc>
        <w:tc>
          <w:tcPr>
            <w:tcW w:w="800" w:type="dxa"/>
            <w:vAlign w:val="bottom"/>
          </w:tcPr>
          <w:p>
            <w:pPr>
              <w:spacing w:after="0"/>
              <w:rPr>
                <w:sz w:val="20"/>
                <w:szCs w:val="20"/>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the Program</w:t>
            </w:r>
          </w:p>
        </w:tc>
        <w:tc>
          <w:tcPr>
            <w:tcW w:w="0" w:type="dxa"/>
            <w:vAlign w:val="bottom"/>
          </w:tcPr>
          <w:p>
            <w:pPr>
              <w:spacing w:after="0"/>
              <w:rPr>
                <w:sz w:val="1"/>
                <w:szCs w:val="1"/>
                <w:color w:val="auto"/>
              </w:rPr>
            </w:pPr>
          </w:p>
        </w:tc>
      </w:tr>
      <w:tr>
        <w:trPr>
          <w:trHeight w:val="203"/>
        </w:trPr>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July</w:t>
            </w:r>
          </w:p>
        </w:tc>
        <w:tc>
          <w:tcPr>
            <w:tcW w:w="8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688,219</w:t>
            </w:r>
          </w:p>
        </w:tc>
        <w:tc>
          <w:tcPr>
            <w:tcW w:w="7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56.96</w:t>
            </w:r>
          </w:p>
        </w:tc>
        <w:tc>
          <w:tcPr>
            <w:tcW w:w="8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662,615</w:t>
            </w:r>
          </w:p>
        </w:tc>
        <w:tc>
          <w:tcPr>
            <w:tcW w:w="8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17,721,106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August</w:t>
            </w:r>
          </w:p>
        </w:tc>
        <w:tc>
          <w:tcPr>
            <w:tcW w:w="2220" w:type="dxa"/>
            <w:vAlign w:val="bottom"/>
            <w:gridSpan w:val="2"/>
          </w:tcPr>
          <w:p>
            <w:pPr>
              <w:jc w:val="right"/>
              <w:ind w:right="12"/>
              <w:spacing w:after="0"/>
              <w:rPr>
                <w:sz w:val="20"/>
                <w:szCs w:val="20"/>
                <w:color w:val="auto"/>
              </w:rPr>
            </w:pPr>
            <w:r>
              <w:rPr>
                <w:rFonts w:ascii="Arial" w:cs="Arial" w:eastAsia="Arial" w:hAnsi="Arial"/>
                <w:sz w:val="18"/>
                <w:szCs w:val="18"/>
                <w:color w:val="auto"/>
              </w:rPr>
              <w:t>3,040,430</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50.87</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3,026,458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14,694,648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September</w:t>
            </w:r>
          </w:p>
        </w:tc>
        <w:tc>
          <w:tcPr>
            <w:tcW w:w="8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843,180</w:t>
            </w:r>
          </w:p>
        </w:tc>
        <w:tc>
          <w:tcPr>
            <w:tcW w:w="7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8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776,803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13,917,845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220" w:type="dxa"/>
            <w:vAlign w:val="bottom"/>
            <w:gridSpan w:val="2"/>
          </w:tcPr>
          <w:p>
            <w:pPr>
              <w:jc w:val="right"/>
              <w:ind w:right="12"/>
              <w:spacing w:after="0"/>
              <w:rPr>
                <w:sz w:val="20"/>
                <w:szCs w:val="20"/>
                <w:color w:val="auto"/>
              </w:rPr>
            </w:pPr>
            <w:r>
              <w:rPr>
                <w:rFonts w:ascii="Arial" w:cs="Arial" w:eastAsia="Arial" w:hAnsi="Arial"/>
                <w:sz w:val="18"/>
                <w:szCs w:val="18"/>
                <w:color w:val="auto"/>
              </w:rPr>
              <w:t>4,571,829</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51.33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4,465,876</w:t>
            </w:r>
          </w:p>
        </w:tc>
        <w:tc>
          <w:tcPr>
            <w:tcW w:w="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and outstanding shares surrendered to the company to pay the exercise price in connection with swap exercises of employee stock options. Of the shares repurchased in the third quarter of 2011, 4,465,876 were repurchased pursuant to the Board of Directors’ June 5, 2008 and September 8, 2010 publicly announced authorization. All other shares repurchased during the quarter related to swap exercises.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October 25, 2011, we issued a press release reporting our results of operations for the third quarter and the first nine months of 2011.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3(i).1</w:t>
            </w: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Charter of T. Rowe Price Group, Inc., as Amended by Articles of Amendment dated April 10, 2008. (Incorporated by reference from Form 10-Q</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for the quarterly period ended March 31, 2008 filed on April 10, 2008; File No. 033-07012-99).</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3(ii)</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Amended and Restated By-Laws of T. Rowe Price Group, Inc. as of February 12, 2009. (Incorporated by reference from Form 8-K Current Report</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 on February 17, 2009; File No. 033-07012-99).</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10.03</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Transfer Agency and Service Agreement as of January 1, 2011, between T. Rowe Price Services, Inc. and the T. Rowe Price Funds. (Incorporated</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by reference from Form 485BPOS filed on April 29, 2011; File No. 033-38791).</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10.04</w:t>
            </w:r>
          </w:p>
        </w:tc>
        <w:tc>
          <w:tcPr>
            <w:tcW w:w="10580" w:type="dxa"/>
            <w:vAlign w:val="bottom"/>
          </w:tcPr>
          <w:p>
            <w:pPr>
              <w:ind w:left="280"/>
              <w:spacing w:after="0"/>
              <w:rPr>
                <w:sz w:val="20"/>
                <w:szCs w:val="20"/>
                <w:color w:val="auto"/>
              </w:rPr>
            </w:pPr>
            <w:r>
              <w:rPr>
                <w:rFonts w:ascii="Arial" w:cs="Arial" w:eastAsia="Arial" w:hAnsi="Arial"/>
                <w:sz w:val="18"/>
                <w:szCs w:val="18"/>
                <w:color w:val="auto"/>
                <w:w w:val="88"/>
              </w:rPr>
              <w:t>Agreement as of January 1, 2011, between T. Rowe Price Retirement Plan Services, Inc. and certain of the T. Rowe Price Funds. (Incorporated by</w:t>
            </w:r>
          </w:p>
        </w:tc>
      </w:tr>
      <w:tr>
        <w:trPr>
          <w:trHeight w:val="222"/>
        </w:trPr>
        <w:tc>
          <w:tcPr>
            <w:tcW w:w="760" w:type="dxa"/>
            <w:vAlign w:val="bottom"/>
          </w:tcPr>
          <w:p>
            <w:pPr>
              <w:spacing w:after="0"/>
              <w:rPr>
                <w:sz w:val="19"/>
                <w:szCs w:val="19"/>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from Form 485BPOS filed on April 29, 2011; File No. 033-38791).</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15</w:t>
            </w:r>
          </w:p>
        </w:tc>
        <w:tc>
          <w:tcPr>
            <w:tcW w:w="10580" w:type="dxa"/>
            <w:vAlign w:val="bottom"/>
          </w:tcPr>
          <w:p>
            <w:pPr>
              <w:ind w:left="28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31(i).1</w:t>
            </w:r>
          </w:p>
        </w:tc>
        <w:tc>
          <w:tcPr>
            <w:tcW w:w="10580" w:type="dxa"/>
            <w:vAlign w:val="bottom"/>
          </w:tcPr>
          <w:p>
            <w:pPr>
              <w:ind w:left="2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31(i).2</w:t>
            </w:r>
          </w:p>
        </w:tc>
        <w:tc>
          <w:tcPr>
            <w:tcW w:w="10580" w:type="dxa"/>
            <w:vAlign w:val="bottom"/>
          </w:tcPr>
          <w:p>
            <w:pPr>
              <w:ind w:left="2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r>
      <w:tr>
        <w:trPr>
          <w:trHeight w:val="365"/>
        </w:trPr>
        <w:tc>
          <w:tcPr>
            <w:tcW w:w="760" w:type="dxa"/>
            <w:vAlign w:val="bottom"/>
          </w:tcPr>
          <w:p>
            <w:pPr>
              <w:spacing w:after="0"/>
              <w:rPr>
                <w:sz w:val="24"/>
                <w:szCs w:val="24"/>
                <w:color w:val="auto"/>
              </w:rPr>
            </w:pPr>
          </w:p>
        </w:tc>
        <w:tc>
          <w:tcPr>
            <w:tcW w:w="10580" w:type="dxa"/>
            <w:vAlign w:val="bottom"/>
          </w:tcPr>
          <w:p>
            <w:pPr>
              <w:ind w:left="4680"/>
              <w:spacing w:after="0"/>
              <w:rPr>
                <w:sz w:val="20"/>
                <w:szCs w:val="20"/>
                <w:color w:val="auto"/>
              </w:rPr>
            </w:pPr>
            <w:r>
              <w:rPr>
                <w:rFonts w:ascii="Arial" w:cs="Arial" w:eastAsia="Arial" w:hAnsi="Arial"/>
                <w:sz w:val="18"/>
                <w:szCs w:val="18"/>
                <w:color w:val="auto"/>
              </w:rPr>
              <w:t>Page 20</w:t>
            </w:r>
          </w:p>
        </w:tc>
      </w:tr>
    </w:tbl>
    <w:p>
      <w:pPr>
        <w:sectPr>
          <w:pgSz w:w="11900" w:h="16838" w:orient="portrait"/>
          <w:cols w:equalWidth="0" w:num="1">
            <w:col w:w="11340"/>
          </w:cols>
          <w:pgMar w:left="240" w:top="280" w:right="319" w:bottom="1440" w:gutter="0" w:footer="0" w:header="0"/>
        </w:sectPr>
      </w:pPr>
    </w:p>
    <w:bookmarkStart w:id="20" w:name="page21"/>
    <w:bookmarkEnd w:id="20"/>
    <w:p>
      <w:pPr>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w:t>
      </w:r>
      <w:r>
        <w:rPr>
          <w:sz w:val="20"/>
          <w:szCs w:val="20"/>
          <w:color w:val="auto"/>
        </w:rPr>
        <w:tab/>
      </w:r>
      <w:r>
        <w:rPr>
          <w:rFonts w:ascii="Arial" w:cs="Arial" w:eastAsia="Arial" w:hAnsi="Arial"/>
          <w:sz w:val="18"/>
          <w:szCs w:val="18"/>
          <w:color w:val="auto"/>
        </w:rPr>
        <w:t>Press release issued October 25, 2011, reporting our results of operations for the third quarter and the first nine months of 2011.</w:t>
      </w:r>
    </w:p>
    <w:p>
      <w:pPr>
        <w:spacing w:after="0" w:line="225" w:lineRule="exact"/>
        <w:rPr>
          <w:sz w:val="20"/>
          <w:szCs w:val="20"/>
          <w:color w:val="auto"/>
        </w:rPr>
      </w:pPr>
    </w:p>
    <w:p>
      <w:pPr>
        <w:ind w:left="940" w:hanging="932"/>
        <w:spacing w:after="0" w:line="259"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600" w:type="dxa"/>
            <w:vAlign w:val="bottom"/>
          </w:tcPr>
          <w:p>
            <w:pPr>
              <w:ind w:left="120"/>
              <w:spacing w:after="0"/>
              <w:rPr>
                <w:sz w:val="20"/>
                <w:szCs w:val="20"/>
                <w:color w:val="auto"/>
              </w:rPr>
            </w:pPr>
            <w:r>
              <w:rPr>
                <w:rFonts w:ascii="Arial" w:cs="Arial" w:eastAsia="Arial" w:hAnsi="Arial"/>
                <w:sz w:val="18"/>
                <w:szCs w:val="18"/>
                <w:color w:val="auto"/>
                <w:w w:val="94"/>
              </w:rPr>
              <w:t>XBRL Instance Document (File name: trow-20110930.xml).</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4600" w:type="dxa"/>
            <w:vAlign w:val="bottom"/>
          </w:tcPr>
          <w:p>
            <w:pPr>
              <w:ind w:left="120"/>
              <w:spacing w:after="0"/>
              <w:rPr>
                <w:sz w:val="20"/>
                <w:szCs w:val="20"/>
                <w:color w:val="auto"/>
              </w:rPr>
            </w:pPr>
            <w:r>
              <w:rPr>
                <w:rFonts w:ascii="Arial" w:cs="Arial" w:eastAsia="Arial" w:hAnsi="Arial"/>
                <w:sz w:val="18"/>
                <w:szCs w:val="18"/>
                <w:color w:val="auto"/>
                <w:w w:val="94"/>
              </w:rPr>
              <w:t>XBRL Taxonomy Extension Schema Document (File name:</w:t>
            </w:r>
          </w:p>
        </w:tc>
      </w:tr>
      <w:tr>
        <w:trPr>
          <w:trHeight w:val="222"/>
        </w:trPr>
        <w:tc>
          <w:tcPr>
            <w:tcW w:w="7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trow-20110930.xsd).</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4600" w:type="dxa"/>
            <w:vAlign w:val="bottom"/>
          </w:tcPr>
          <w:p>
            <w:pPr>
              <w:ind w:left="120"/>
              <w:spacing w:after="0"/>
              <w:rPr>
                <w:sz w:val="20"/>
                <w:szCs w:val="20"/>
                <w:color w:val="auto"/>
              </w:rPr>
            </w:pPr>
            <w:r>
              <w:rPr>
                <w:rFonts w:ascii="Arial" w:cs="Arial" w:eastAsia="Arial" w:hAnsi="Arial"/>
                <w:sz w:val="18"/>
                <w:szCs w:val="18"/>
                <w:color w:val="auto"/>
                <w:w w:val="91"/>
              </w:rPr>
              <w:t>XBRL Taxonomy Calculation Linkbase Document (File name:</w:t>
            </w:r>
          </w:p>
        </w:tc>
      </w:tr>
      <w:tr>
        <w:trPr>
          <w:trHeight w:val="222"/>
        </w:trPr>
        <w:tc>
          <w:tcPr>
            <w:tcW w:w="7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trow-20110930_cal.xml).</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4600" w:type="dxa"/>
            <w:vAlign w:val="bottom"/>
          </w:tcPr>
          <w:p>
            <w:pPr>
              <w:ind w:left="120"/>
              <w:spacing w:after="0"/>
              <w:rPr>
                <w:sz w:val="20"/>
                <w:szCs w:val="20"/>
                <w:color w:val="auto"/>
              </w:rPr>
            </w:pPr>
            <w:r>
              <w:rPr>
                <w:rFonts w:ascii="Arial" w:cs="Arial" w:eastAsia="Arial" w:hAnsi="Arial"/>
                <w:sz w:val="18"/>
                <w:szCs w:val="18"/>
                <w:color w:val="auto"/>
              </w:rPr>
              <w:t>XBRL Taxonomy Label Linkbase Document (File name:</w:t>
            </w:r>
          </w:p>
        </w:tc>
      </w:tr>
      <w:tr>
        <w:trPr>
          <w:trHeight w:val="222"/>
        </w:trPr>
        <w:tc>
          <w:tcPr>
            <w:tcW w:w="7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trow-20110930_lab.xml).</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600" w:type="dxa"/>
            <w:vAlign w:val="bottom"/>
          </w:tcPr>
          <w:p>
            <w:pPr>
              <w:ind w:left="120"/>
              <w:spacing w:after="0"/>
              <w:rPr>
                <w:sz w:val="20"/>
                <w:szCs w:val="20"/>
                <w:color w:val="auto"/>
              </w:rPr>
            </w:pPr>
            <w:r>
              <w:rPr>
                <w:rFonts w:ascii="Arial" w:cs="Arial" w:eastAsia="Arial" w:hAnsi="Arial"/>
                <w:sz w:val="18"/>
                <w:szCs w:val="18"/>
                <w:color w:val="auto"/>
                <w:w w:val="88"/>
              </w:rPr>
              <w:t>XBRL Taxonomy Presentation Linkbase Document (File name:</w:t>
            </w:r>
          </w:p>
        </w:tc>
      </w:tr>
      <w:tr>
        <w:trPr>
          <w:trHeight w:val="222"/>
        </w:trPr>
        <w:tc>
          <w:tcPr>
            <w:tcW w:w="7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trow-20110930_pre.xml).</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4600" w:type="dxa"/>
            <w:vAlign w:val="bottom"/>
          </w:tcPr>
          <w:p>
            <w:pPr>
              <w:ind w:left="120"/>
              <w:spacing w:after="0"/>
              <w:rPr>
                <w:sz w:val="20"/>
                <w:szCs w:val="20"/>
                <w:color w:val="auto"/>
              </w:rPr>
            </w:pPr>
            <w:r>
              <w:rPr>
                <w:rFonts w:ascii="Arial" w:cs="Arial" w:eastAsia="Arial" w:hAnsi="Arial"/>
                <w:sz w:val="18"/>
                <w:szCs w:val="18"/>
                <w:color w:val="auto"/>
                <w:w w:val="93"/>
              </w:rPr>
              <w:t>XBRL Taxonomy Definition Linkbase Document (File name:</w:t>
            </w:r>
          </w:p>
        </w:tc>
      </w:tr>
      <w:tr>
        <w:trPr>
          <w:trHeight w:val="222"/>
        </w:trPr>
        <w:tc>
          <w:tcPr>
            <w:tcW w:w="78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trow-20110930_def.xml).</w:t>
            </w:r>
          </w:p>
        </w:tc>
      </w:tr>
    </w:tbl>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25,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and Chief Financial Officer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00"/>
          </w:cols>
          <w:pgMar w:left="240" w:top="28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Exhibit 15 Letter from KPMG LLP, independent registered public accounting firm,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6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25, 2011 related to our review of interim financial information.</w:t>
      </w:r>
    </w:p>
    <w:p>
      <w:pPr>
        <w:spacing w:after="0" w:line="132"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25,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80"/>
          </w:cols>
          <w:pgMar w:left="240" w:top="13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2011,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00" w:firstLine="443"/>
        <w:spacing w:after="0" w:line="259" w:lineRule="auto"/>
        <w:tabs>
          <w:tab w:leader="none" w:pos="1137"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00" w:firstLine="443"/>
        <w:spacing w:after="0" w:line="332" w:lineRule="auto"/>
        <w:tabs>
          <w:tab w:leader="none" w:pos="1137"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80" w:firstLine="443"/>
        <w:spacing w:after="0" w:line="332" w:lineRule="auto"/>
        <w:tabs>
          <w:tab w:leader="none" w:pos="1147"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October 25,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00"/>
          </w:cols>
          <w:pgMar w:left="240" w:top="12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2011,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00" w:firstLine="443"/>
        <w:spacing w:after="0" w:line="259" w:lineRule="auto"/>
        <w:tabs>
          <w:tab w:leader="none" w:pos="1137"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00" w:firstLine="443"/>
        <w:spacing w:after="0" w:line="332" w:lineRule="auto"/>
        <w:tabs>
          <w:tab w:leader="none" w:pos="1137"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80" w:firstLine="443"/>
        <w:spacing w:after="0" w:line="332" w:lineRule="auto"/>
        <w:tabs>
          <w:tab w:leader="none" w:pos="1147"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October 25,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00"/>
          </w:cols>
          <w:pgMar w:left="240" w:top="125" w:right="259" w:bottom="1440" w:gutter="0" w:footer="0" w:header="0"/>
        </w:sectPr>
      </w:pPr>
    </w:p>
    <w:bookmarkStart w:id="24" w:name="page25"/>
    <w:bookmarkEnd w:id="24"/>
    <w:p>
      <w:pPr>
        <w:spacing w:after="0"/>
        <w:tabs>
          <w:tab w:leader="none" w:pos="890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5"/>
          <w:szCs w:val="15"/>
          <w:b w:val="1"/>
          <w:bCs w:val="1"/>
          <w:color w:val="auto"/>
        </w:rPr>
        <w:t>Section 1350 Certifications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September 30, 2011, of T. Rowe Price Group, Inc., that:</w:t>
      </w:r>
    </w:p>
    <w:p>
      <w:pPr>
        <w:spacing w:after="0" w:line="13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Form 10-Q Quarterly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180" w:firstLine="8"/>
        <w:spacing w:after="0" w:line="268"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October 25,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40"/>
          </w:cols>
          <w:pgMar w:left="240" w:top="125" w:right="319" w:bottom="1440" w:gutter="0" w:footer="0" w:header="0"/>
        </w:sectPr>
      </w:pPr>
    </w:p>
    <w:bookmarkStart w:id="25" w:name="page26"/>
    <w:bookmarkEnd w:id="2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746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7461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 ROWE PRICE GROUP REPORTS THIRD QUARTER 2011 RESULTS</w:t>
      </w:r>
    </w:p>
    <w:p>
      <w:pPr>
        <w:spacing w:after="0" w:line="17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BALTIMORE (October 25, 2011) – T. Rowe Price Group, Inc. (NASDAQ-GS: TROW) today reported its third quarter 2011 results, including net revenues of $679.4 million, net income of $185.5 million, and diluted earnings per common share of $.71, an increase of 11% from the $.64 per share earned in the comparable 2010 quarter. Net revenues were $586.1 million in the third quarter of 2010, and net income was $169.1 million.</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Investment advisory revenues increased 15%, or $75.5 million, from the third quarter of 2010, on higher average assets under management compared to the 2010 third quarter. Volatility in global financial markets in the third quarter of 2011, resulting from investor concerns over geopolitical and economic uncertainties, led to a reduction in assets under management from $520.9 billion at June 30, 2011 to $453.5 billion at September 30, 2011. The $67.4 billion decline included market depreciation, net of income, of $64.8 billion, and net cash outflows of $2.6 billion. Assets under management at September 30, 2011 include $266.6 billion in the T. Rowe Price mutual funds distributed in the United States and $186.9 billion in other managed investment portfolios.</w:t>
      </w:r>
    </w:p>
    <w:p>
      <w:pPr>
        <w:spacing w:after="0" w:line="116"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Results for the first nine months of 2011 include net revenues of nearly $2.1 billion, net income of $584.8 million, and diluted earnings per common share of $2.20, an increase of 21.5% from the $1.81 per share earned in the first nine months of 2010. Assets under management decreased $28.5 billion from $482.0 billion at the end of 2010 as net cash inflows of $13.0 billion were more than offset by market depreciation and income not reinvested, of $41.5 billion.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6"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Relative to the 2010 third quarter, investment advisory revenues earned from the T. Rowe Price mutual funds distributed in the U.S. increased nearly 16%, or $53.6 million, to $397.8 million. Average mutual fund assets under management in the third quarter of 2011 were $288.3 billion, an increase of 17% from the average for the comparable 2010 quarter. Mutual fund assets at September 30, 2011 were $266.6 billion, a decrease of $39 billion from the end of June 2011,</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40"/>
          </w:cols>
          <w:pgMar w:left="240" w:top="1440" w:right="319" w:bottom="1440" w:gutter="0" w:footer="0" w:header="0"/>
        </w:sectPr>
      </w:pPr>
    </w:p>
    <w:bookmarkStart w:id="26" w:name="page27"/>
    <w:bookmarkEnd w:id="26"/>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down $21.7 billion from the average mutual fund asset balances in the third quarter of 2011. The firm voluntarily waived money market fund fees of $10.7 million in the third quarter of 2011 in order to maintain a positive yield for fund investors, compared to fee waivers of $5.2 million in the comparable 2010 quarter. During the 2011 year-to-date period, the firm has waived $26.0 million in such fees, an increase of $7.6 million from the similar 2010 period.</w:t>
      </w:r>
    </w:p>
    <w:p>
      <w:pPr>
        <w:spacing w:after="0" w:line="1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outflows from the sponsored mutual funds were $200 million during the third quarter of 2011. Net inflows of $1.2 billion added to the stock and blended asset funds and $.6 billion added to the money market funds were more than offset by the $2.0 billion in net outflows from the bond funds. These specific asset class flows were primarily a result of rebalancing activities within the firm’s target-date retirement funds. Lower market valuations, net of income, reduced mutual fund assets under management by $38.8 billion during the third quarter of 2011.</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a performance standpoint, 80% of the T. Rowe Price funds across their share classes outperformed their comparable Lipper averages on a total return basis for the three-year period ended September 30, 2011, 84% outperformed for the five-year period, 79% outperformed for the 10-year period, and 53% outperformed for the one-year period. In addition, T. Rowe Price stock, bond and blended asset funds that ended the quarter with an overall rating of four or five stars from Morningstar account for nearly 65% of the firm’s rated funds’ assets under management.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Investment advisory revenues earned on the other investment portfolios that the firm manages increased $21.9 million, or 14%, from the third quarter of 2010, to $180.2 million. Average assets in these portfolios were $202.2 billion during the third quarter of 2011, an increase of $32.0 billion, or 19%, from the 2010 quarter. Ending assets at September 30, 2011 were $186.9 billion, a decrease of $28.4 billion from the end of June 2011. Net outflows for the third quarter of 2011 of $2.4 billion resulted primarily from certain third-party intermediaries and institutional investors reducing risk in their portfolios in the wake of the volatile market environment experienced during the third quarter of 2011. Market depreciation, net of income, reduced assets under management in these portfolios by $26.0 billion. Investors domiciled outside the United States accounted for more than 11% of the firm’s assets under management at September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target-date retirement investment portfolios continue to be a steady source of assets under management. During the third quarter of 2011, net inflows of $1.4 billion originated in these portfolios. Assets in the target-date retirement portfolios were $60.4 billion at September 30, 2011, accounting for 13% of the firm’s assets under management and 21% of its mutual fund assets.</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Operating expenses were $384.2 million in the third quarter of 2011, up $60.0 million from the 2010 quarter. Compensation and related costs increased $37.4 million, or 17.5%, from the comparable 2010 quarter, due primarily to an increase in the accrual for the firm’s annual variable compensation program, salaries, employee benefits, temporary staffing and non-cash stock based compensation. At September 30, 2011, the firm employed 5,249 associates, up 3.9% from the 5,052 associates employed at the end of 2010.</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Advertising and promotion expenditures were relatively flat compared to the third quarter of 2010. Spending on advertising and promotion in the fourth quarter of 2011 is expected to be comparable to the fourth quarter of 2010. The firm varies its level of spending based on market conditions and investor demand as well as its efforts to expand its investor base in the United States and abroad.</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Other operating expenses were up $18.7 million, or 40%, from the third quarter of 2010. This change includes an increase of $9.7 million in distribution expenses recognized on fees paid to financial intermediaries for sourcing assets into the Advisor and R classes of the T. Rowe Price funds, and is entirely offset by the increase in administrative revenues from 12b-1 fees. This increase in distribution expenses includes $2.2 million based on greater average fund assets under management and $7.5 million incurred on R class shares in the third quarter of 2011 for which the comparable 2010 quarterly expenses were netted against related 12b-1 revenues. The distribution expenses incurred in the year-to-date 2011 period on R class shares are $15.1 million. The balance of the change is from rising consulting and professional fees, travel expenses and other costs incurred to meet increased business demands.</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provision for income taxes as a percentage of pretax income for the third quarter of 2011 is 37.4%, as a lower statutory tax rate in the U.K. as well as a reduction in the firm’s effective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tax rate have together decreased its estimated rate for the full-year 2011 to 38.0% from our previous estimate of 38.2%.</w:t>
      </w:r>
    </w:p>
    <w:p>
      <w:pPr>
        <w:spacing w:after="0" w:line="17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 Rowe Price remains debt-free with ample liquidity, including cash and mutual fund investment holdings of more than $1.7 billion. Based on current strategic projects and plans, the company’s capital expenditures for all of 2011 are estimated to be about $93 million. In the first nine months of 2011, the firm has expended $470 million to repurchase nearly 8.5 million shares of its common stock. These cash expenditures are being funded from available liquid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James A.C. Kennedy, the company’s chief executive officer and president, commented: “While we are pleased that a broad range of our portfolios continues to deliver very attractive long-term returns, volatile markets and lower valuations have made this a tough environment for our clients and the firm in the short term. Bond returns were mixed during the quarter and global stock markets fell sharply. Slower economic growth, the intensifying European sovereign debt crisis and the overall lack of effective decision making by political leaders in both the U.S. and Europe have heightened volatility and dampened investor confidence.</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resulting market depreciation, combined with modest outflows during the quarter – our first since the fourth quarter of 2008 – led to a reduction in assets under management and quarterly net income and earnings compared with the prior three quarters. Quarterly advisory revenues declined a bit from the record levels of the second quarter, and we expect those results to continue to moderate since they are calculated based on average assets under management. In this environment we remain vigilant about our expense management, both for the remainder of this year and as we plan for 2012.</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most world markets have rebounded at the beginning of the fourth quarter, volatility and a number of policy and political issues continue to cloud the outlook. The acute need for real resolutions to the sovereign debt woes of Europe, and to the unsustainable U.S. budget outlook, continues to weigh on consumer and business confidence. Without real progress, economic growth in the developed economies will likely remain subdued and unemployment high.</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20"/>
          </w:cols>
          <w:pgMar w:left="240" w:top="2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growth in the emerging economies has slowed, but the long-term positive case for emerging market growth continues.”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closing, Mr. Kennedy said: “In the current environment, as always, we are focused on maintaining the disciplined investment philosophy and long-term perspective that in the past have helped us weather volatile market conditions and deliver for our clients. As we head toward next year’s 75</w:t>
      </w:r>
      <w:r>
        <w:rPr>
          <w:rFonts w:ascii="Arial" w:cs="Arial" w:eastAsia="Arial" w:hAnsi="Arial"/>
          <w:sz w:val="11"/>
          <w:szCs w:val="11"/>
          <w:color w:val="auto"/>
        </w:rPr>
        <w:t>th</w:t>
      </w:r>
      <w:r>
        <w:rPr>
          <w:rFonts w:ascii="Arial" w:cs="Arial" w:eastAsia="Arial" w:hAnsi="Arial"/>
          <w:sz w:val="18"/>
          <w:szCs w:val="18"/>
          <w:color w:val="auto"/>
        </w:rPr>
        <w:t xml:space="preserve"> anniversary of our founding, our overall strategy for success will continue to build on our client-focused heritage, healthy balance sheet, diversified investment and distribution capabilities, and ability to attract and retain talented and dedicated associates. While markets are a key driver of our short-term financial results, the long-term outlook for the company remains strong.”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2011 with the U.S. Securities and Exchange Commission later today. The Form 10-Q will include additional information on the firm’s unaudited financial results at September 30, 2011.</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investments, capital expenditures, and other market conditions. For a discussion concerning risks and other factors that could affect future results, see the firm’s 2010 Form 10-K report.</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u w:val="single" w:color="auto"/>
          <w:color w:val="auto"/>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4"/>
                <w:szCs w:val="14"/>
                <w:color w:val="auto"/>
                <w:w w:val="86"/>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60"/>
              <w:spacing w:after="0"/>
              <w:rPr>
                <w:sz w:val="20"/>
                <w:szCs w:val="20"/>
                <w:color w:val="auto"/>
              </w:rPr>
            </w:pPr>
            <w:r>
              <w:rPr>
                <w:rFonts w:ascii="Arial" w:cs="Arial" w:eastAsia="Arial" w:hAnsi="Arial"/>
                <w:sz w:val="14"/>
                <w:szCs w:val="14"/>
                <w:color w:val="auto"/>
                <w:w w:val="98"/>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9/30/2010</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color w:val="auto"/>
                <w:w w:val="83"/>
              </w:rPr>
              <w:t>9/30/2011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9/30/2010</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Investment advisory fees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502.5</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578.0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1,466.3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Investment income of savings bank subsidiary</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Interest expense on savings bank deposits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2,075.5</w:t>
            </w:r>
          </w:p>
        </w:tc>
        <w:tc>
          <w:tcPr>
            <w:tcW w:w="0" w:type="dxa"/>
            <w:vAlign w:val="bottom"/>
          </w:tcPr>
          <w:p>
            <w:pPr>
              <w:spacing w:after="0"/>
              <w:rPr>
                <w:sz w:val="1"/>
                <w:szCs w:val="1"/>
                <w:color w:val="auto"/>
              </w:rPr>
            </w:pPr>
          </w:p>
        </w:tc>
      </w:tr>
      <w:tr>
        <w:trPr>
          <w:trHeight w:val="330"/>
        </w:trPr>
        <w:tc>
          <w:tcPr>
            <w:tcW w:w="8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related costs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Advertising and promotion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Occupancy and facility costs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income allocated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allocated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Outstanding assuming dilution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ind w:left="5560"/>
              <w:spacing w:after="0"/>
              <w:rPr>
                <w:sz w:val="20"/>
                <w:szCs w:val="20"/>
                <w:color w:val="auto"/>
              </w:rPr>
            </w:pPr>
            <w:r>
              <w:rPr>
                <w:rFonts w:ascii="Arial" w:cs="Arial" w:eastAsia="Arial" w:hAnsi="Arial"/>
                <w:sz w:val="18"/>
                <w:szCs w:val="18"/>
                <w:color w:val="auto"/>
              </w:rPr>
              <w:t>- 6 -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4"/>
                <w:szCs w:val="14"/>
                <w:color w:val="auto"/>
                <w:w w:val="95"/>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9/30/2010</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9/30/2011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9/30/2010</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Advisory Revenues (in millions)</w:t>
            </w: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$ 271.3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and money market</w:t>
            </w: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1,216.4</w:t>
            </w:r>
          </w:p>
        </w:tc>
        <w:tc>
          <w:tcPr>
            <w:tcW w:w="0" w:type="dxa"/>
            <w:vAlign w:val="bottom"/>
          </w:tcPr>
          <w:p>
            <w:pPr>
              <w:spacing w:after="0"/>
              <w:rPr>
                <w:sz w:val="1"/>
                <w:szCs w:val="1"/>
                <w:color w:val="auto"/>
              </w:rPr>
            </w:pPr>
          </w:p>
        </w:tc>
      </w:tr>
      <w:tr>
        <w:trPr>
          <w:trHeight w:val="323"/>
        </w:trPr>
        <w:tc>
          <w:tcPr>
            <w:tcW w:w="804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money market and stable value</w:t>
            </w:r>
          </w:p>
        </w:tc>
        <w:tc>
          <w:tcPr>
            <w:tcW w:w="540" w:type="dxa"/>
            <w:vAlign w:val="bottom"/>
          </w:tcPr>
          <w:p>
            <w:pPr>
              <w:jc w:val="right"/>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$ 502.5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$ 578.0</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1,466.3</w:t>
            </w:r>
          </w:p>
        </w:tc>
        <w:tc>
          <w:tcPr>
            <w:tcW w:w="18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$ 178.5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and money market</w:t>
            </w: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323"/>
        </w:trPr>
        <w:tc>
          <w:tcPr>
            <w:tcW w:w="804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money market and stable value</w:t>
            </w: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$ 416.1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$ 490.5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408.9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12/31/2010</w:t>
            </w:r>
          </w:p>
        </w:tc>
        <w:tc>
          <w:tcPr>
            <w:tcW w:w="1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9/30/2011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Under Management (in billions)</w:t>
            </w: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and money market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323"/>
        </w:trPr>
        <w:tc>
          <w:tcPr>
            <w:tcW w:w="804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and blended asset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Bond, money market and stable value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482.0</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portfolios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Fixed income portfolios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9/30/2010</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Cash Flows Information (in millions)</w:t>
            </w: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provided by operating activities, including $73.8 of stock-based compensation in 2011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711.5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 including ($49.5) for additions to property and equipment in 2011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6"/>
              </w:rPr>
              <w:t>Cash used in financing activities, including common stock repurchases of ($461.6) and dividends paid of</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($239.3) in 2011</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(379.3)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12/31/2010</w:t>
            </w:r>
          </w:p>
        </w:tc>
        <w:tc>
          <w:tcPr>
            <w:tcW w:w="1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9/30/2011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Balance Sheet Information (in millions)</w:t>
            </w: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813.1</w:t>
            </w:r>
          </w:p>
        </w:tc>
        <w:tc>
          <w:tcPr>
            <w:tcW w:w="1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other investments and other assets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3,642.0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5"/>
        </w:trPr>
        <w:tc>
          <w:tcPr>
            <w:tcW w:w="8040" w:type="dxa"/>
            <w:vAlign w:val="bottom"/>
            <w:gridSpan w:val="2"/>
          </w:tcPr>
          <w:p>
            <w:pPr>
              <w:spacing w:after="0"/>
              <w:rPr>
                <w:sz w:val="20"/>
                <w:szCs w:val="20"/>
                <w:color w:val="auto"/>
              </w:rPr>
            </w:pPr>
            <w:r>
              <w:rPr>
                <w:rFonts w:ascii="Arial" w:cs="Arial" w:eastAsia="Arial" w:hAnsi="Arial"/>
                <w:sz w:val="18"/>
                <w:szCs w:val="18"/>
                <w:color w:val="auto"/>
                <w:w w:val="95"/>
              </w:rPr>
              <w:t>Stockholders’ equity, 252.8 common shares outstanding in 2011, including net unrealized holding gains of</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$91.9 in 2011</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3,296.5</w:t>
            </w:r>
          </w:p>
        </w:tc>
        <w:tc>
          <w:tcPr>
            <w:tcW w:w="18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ind w:left="5560"/>
              <w:spacing w:after="0"/>
              <w:rPr>
                <w:sz w:val="20"/>
                <w:szCs w:val="20"/>
                <w:color w:val="auto"/>
              </w:rPr>
            </w:pPr>
            <w:r>
              <w:rPr>
                <w:rFonts w:ascii="Arial" w:cs="Arial" w:eastAsia="Arial" w:hAnsi="Arial"/>
                <w:sz w:val="18"/>
                <w:szCs w:val="18"/>
                <w:color w:val="auto"/>
              </w:rPr>
              <w:t>- 7 -</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decimal"/>
      <w:start w:val="10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2019-12-10T19:53:12Z</dcterms:created>
  <dcterms:modified xsi:type="dcterms:W3CDTF">2019-12-10T19:53:12Z</dcterms:modified>
</cp:coreProperties>
</file>