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OF</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30, 2006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100 East Pratt Street, Baltimore, Maryland 21202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-130810</wp:posOffset>
            </wp:positionV>
            <wp:extent cx="27870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(410) 345-2000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-130810</wp:posOffset>
            </wp:positionV>
            <wp:extent cx="24269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96" w:lineRule="exact"/>
        <w:rPr>
          <w:sz w:val="20"/>
          <w:szCs w:val="20"/>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(based on definitions in Rule 12b-2 of the Exchange Act).</w:t>
      </w:r>
    </w:p>
    <w:p>
      <w:pPr>
        <w:spacing w:after="0" w:line="2" w:lineRule="exact"/>
        <w:rPr>
          <w:sz w:val="20"/>
          <w:szCs w:val="20"/>
          <w:color w:val="auto"/>
        </w:rPr>
      </w:pPr>
    </w:p>
    <w:p>
      <w:pPr>
        <w:ind w:right="2320" w:firstLine="2739"/>
        <w:spacing w:after="0" w:line="282" w:lineRule="exact"/>
        <w:rPr>
          <w:sz w:val="20"/>
          <w:szCs w:val="20"/>
          <w:color w:val="auto"/>
        </w:rPr>
      </w:pPr>
      <w:r>
        <w:rPr>
          <w:rFonts w:ascii="Arial" w:cs="Arial" w:eastAsia="Arial" w:hAnsi="Arial"/>
          <w:sz w:val="17"/>
          <w:szCs w:val="17"/>
          <w:b w:val="1"/>
          <w:bCs w:val="1"/>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Accelerated filer o Non-accelerated filer 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Indicate by check mark whether the registrant is a shell company (as defined in Rule 12b-2 of the Exchange Act). o Yes </w:t>
      </w:r>
      <w:r>
        <w:rPr>
          <w:rFonts w:ascii="MS PGothic" w:cs="MS PGothic" w:eastAsia="MS PGothic" w:hAnsi="MS PGothic"/>
          <w:sz w:val="17"/>
          <w:szCs w:val="17"/>
          <w:color w:val="auto"/>
        </w:rPr>
        <w:t>☑</w:t>
      </w:r>
      <w:r>
        <w:rPr>
          <w:rFonts w:ascii="Arial" w:cs="Arial" w:eastAsia="Arial" w:hAnsi="Arial"/>
          <w:sz w:val="17"/>
          <w:szCs w:val="17"/>
          <w:color w:val="auto"/>
        </w:rPr>
        <w:t xml:space="preserve"> </w:t>
      </w:r>
      <w:r>
        <w:rPr>
          <w:rFonts w:ascii="Arial" w:cs="Arial" w:eastAsia="Arial" w:hAnsi="Arial"/>
          <w:sz w:val="17"/>
          <w:szCs w:val="17"/>
          <w:b w:val="1"/>
          <w:bCs w:val="1"/>
          <w:color w:val="auto"/>
        </w:rPr>
        <w:t>No</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number of shares outstanding of the issuer’s common stock ($.20 par value), as of the latest practicable date, October 23, 2006, is </w:t>
      </w:r>
      <w:r>
        <w:rPr>
          <w:rFonts w:ascii="Arial" w:cs="Arial" w:eastAsia="Arial" w:hAnsi="Arial"/>
          <w:sz w:val="17"/>
          <w:szCs w:val="17"/>
          <w:b w:val="1"/>
          <w:bCs w:val="1"/>
          <w:u w:val="single" w:color="auto"/>
          <w:color w:val="auto"/>
        </w:rPr>
        <w:t>263,636,860</w:t>
      </w:r>
      <w:r>
        <w:rPr>
          <w:rFonts w:ascii="Arial" w:cs="Arial" w:eastAsia="Arial" w:hAnsi="Arial"/>
          <w:sz w:val="17"/>
          <w:szCs w:val="17"/>
          <w:b w:val="1"/>
          <w:b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is at Item 6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960" w:type="dxa"/>
            <w:vAlign w:val="bottom"/>
          </w:tcPr>
          <w:p>
            <w:pPr>
              <w:spacing w:after="0"/>
              <w:rPr>
                <w:sz w:val="20"/>
                <w:szCs w:val="20"/>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12/31/2005</w:t>
            </w:r>
          </w:p>
        </w:tc>
        <w:tc>
          <w:tcPr>
            <w:tcW w:w="66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9/30/2006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803,589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876,208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175,030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264,238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404,980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114,837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214,790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665,692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72,370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2,310,546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2,655,707</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78,190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74,093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55,555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36,870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103,829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274,444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389,220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undesignated, $.20 par value-authorized and unissued 20,000,000 shares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200"/>
              <w:spacing w:after="0" w:line="201" w:lineRule="exact"/>
              <w:rPr>
                <w:sz w:val="20"/>
                <w:szCs w:val="20"/>
                <w:color w:val="auto"/>
              </w:rPr>
            </w:pPr>
            <w:r>
              <w:rPr>
                <w:rFonts w:ascii="Arial" w:cs="Arial" w:eastAsia="Arial" w:hAnsi="Arial"/>
                <w:sz w:val="18"/>
                <w:szCs w:val="18"/>
                <w:color w:val="auto"/>
              </w:rPr>
              <w:t>Common stock, $.20 par value-authorized 500,000,000 shares; issued 131,678,371 shares in 2005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263,464,234 shares in 2006</w:t>
            </w:r>
          </w:p>
        </w:tc>
        <w:tc>
          <w:tcPr>
            <w:tcW w:w="100" w:type="dxa"/>
            <w:vAlign w:val="bottom"/>
          </w:tcPr>
          <w:p>
            <w:pPr>
              <w:spacing w:after="0"/>
              <w:rPr>
                <w:sz w:val="20"/>
                <w:szCs w:val="20"/>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26,336</w:t>
            </w: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52,693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279,680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1,683,273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1,953,093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48,544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Deferred stock-based compensation expense</w:t>
            </w:r>
          </w:p>
        </w:tc>
        <w:tc>
          <w:tcPr>
            <w:tcW w:w="100" w:type="dxa"/>
            <w:vAlign w:val="bottom"/>
          </w:tcPr>
          <w:p>
            <w:pPr>
              <w:spacing w:after="0"/>
              <w:rPr>
                <w:sz w:val="19"/>
                <w:szCs w:val="19"/>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2,036,102</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2,266,487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2,310,546</w:t>
            </w:r>
          </w:p>
        </w:tc>
        <w:tc>
          <w:tcPr>
            <w:tcW w:w="6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2,655,707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thousands, except per-share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6"/>
          </w:tcPr>
          <w:p>
            <w:pPr>
              <w:jc w:val="right"/>
              <w:ind w:right="640"/>
              <w:spacing w:after="0"/>
              <w:rPr>
                <w:sz w:val="20"/>
                <w:szCs w:val="20"/>
                <w:color w:val="auto"/>
              </w:rPr>
            </w:pPr>
            <w:r>
              <w:rPr>
                <w:rFonts w:ascii="Arial" w:cs="Arial" w:eastAsia="Arial" w:hAnsi="Arial"/>
                <w:sz w:val="18"/>
                <w:szCs w:val="18"/>
                <w:color w:val="auto"/>
                <w:w w:val="98"/>
              </w:rPr>
              <w:t>Three months ended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3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104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color w:val="auto"/>
                <w:w w:val="87"/>
              </w:rPr>
              <w:t>9/30/2005</w:t>
            </w:r>
          </w:p>
        </w:tc>
        <w:tc>
          <w:tcPr>
            <w:tcW w:w="10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9/30/2006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9/30/2005</w:t>
            </w:r>
          </w:p>
        </w:tc>
        <w:tc>
          <w:tcPr>
            <w:tcW w:w="6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9/30/2006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319,967</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375,223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904,501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1,098,877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and other income</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75,140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204,397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1,388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3,126</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389,605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451,751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1,112,024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1,329,088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902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1,123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2,704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388,703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450,628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1,109,320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1,325,944</w:t>
            </w:r>
          </w:p>
        </w:tc>
        <w:tc>
          <w:tcPr>
            <w:tcW w:w="0" w:type="dxa"/>
            <w:vAlign w:val="bottom"/>
          </w:tcPr>
          <w:p>
            <w:pPr>
              <w:spacing w:after="0"/>
              <w:rPr>
                <w:sz w:val="1"/>
                <w:szCs w:val="1"/>
                <w:color w:val="auto"/>
              </w:rPr>
            </w:pPr>
          </w:p>
        </w:tc>
      </w:tr>
      <w:tr>
        <w:trPr>
          <w:trHeight w:val="439"/>
        </w:trPr>
        <w:tc>
          <w:tcPr>
            <w:tcW w:w="62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132,011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168,750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389,276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15,394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17,464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57,688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11,088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31,069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18,646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20,843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55,131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60,701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31,964</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93,502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99,134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208,851</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250,109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626,666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179,852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200,519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482,654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571,962</w:t>
            </w:r>
          </w:p>
        </w:tc>
        <w:tc>
          <w:tcPr>
            <w:tcW w:w="0" w:type="dxa"/>
            <w:vAlign w:val="bottom"/>
          </w:tcPr>
          <w:p>
            <w:pPr>
              <w:spacing w:after="0"/>
              <w:rPr>
                <w:sz w:val="1"/>
                <w:szCs w:val="1"/>
                <w:color w:val="auto"/>
              </w:rPr>
            </w:pPr>
          </w:p>
        </w:tc>
      </w:tr>
      <w:tr>
        <w:trPr>
          <w:trHeight w:val="20"/>
        </w:trPr>
        <w:tc>
          <w:tcPr>
            <w:tcW w:w="62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40" w:type="dxa"/>
            <w:vAlign w:val="bottom"/>
            <w:gridSpan w:val="2"/>
          </w:tcPr>
          <w:p>
            <w:pPr>
              <w:spacing w:after="0"/>
              <w:rPr>
                <w:sz w:val="20"/>
                <w:szCs w:val="20"/>
                <w:color w:val="auto"/>
              </w:rPr>
            </w:pPr>
            <w:r>
              <w:rPr>
                <w:rFonts w:ascii="Arial" w:cs="Arial" w:eastAsia="Arial" w:hAnsi="Arial"/>
                <w:sz w:val="18"/>
                <w:szCs w:val="18"/>
                <w:color w:val="auto"/>
              </w:rPr>
              <w:t>Other investment income</w:t>
            </w: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4,464</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17,007</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12,041</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17,007</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184,221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217,526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494,409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67,886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89,336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181,028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239,423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116,335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128,190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313,381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380,595</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260,012</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262,343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260,056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272,865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277,630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272,591</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5160"/>
        <w:spacing w:after="0" w:line="277" w:lineRule="auto"/>
        <w:rPr>
          <w:sz w:val="20"/>
          <w:szCs w:val="20"/>
          <w:color w:val="auto"/>
        </w:rPr>
      </w:pPr>
      <w:r>
        <w:rPr>
          <w:rFonts w:ascii="Arial" w:cs="Arial" w:eastAsia="Arial" w:hAnsi="Arial"/>
          <w:sz w:val="18"/>
          <w:szCs w:val="18"/>
          <w:color w:val="auto"/>
        </w:rPr>
        <w:t>UNAUDITED CONDENSED CONSOLIDATED STATEMENTS OF CASH FLOWS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80" w:type="dxa"/>
            <w:vAlign w:val="bottom"/>
            <w:gridSpan w:val="6"/>
          </w:tcPr>
          <w:p>
            <w:pPr>
              <w:jc w:val="right"/>
              <w:ind w:right="50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9/30/2005</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9/30/2006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w w:val="92"/>
              </w:rPr>
              <w:t>$ 313,381</w:t>
            </w:r>
          </w:p>
        </w:tc>
        <w:tc>
          <w:tcPr>
            <w:tcW w:w="3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$ 380,595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120" w:type="dxa"/>
            <w:vAlign w:val="bottom"/>
            <w:gridSpan w:val="4"/>
          </w:tcPr>
          <w:p>
            <w:pPr>
              <w:jc w:val="right"/>
              <w:ind w:right="360"/>
              <w:spacing w:after="0"/>
              <w:rPr>
                <w:sz w:val="20"/>
                <w:szCs w:val="20"/>
                <w:color w:val="auto"/>
              </w:rPr>
            </w:pPr>
            <w:r>
              <w:rPr>
                <w:rFonts w:ascii="Arial" w:cs="Arial" w:eastAsia="Arial" w:hAnsi="Arial"/>
                <w:sz w:val="18"/>
                <w:szCs w:val="18"/>
                <w:color w:val="auto"/>
              </w:rPr>
              <w:t>31,069</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33,164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20" w:type="dxa"/>
            <w:vAlign w:val="bottom"/>
          </w:tcPr>
          <w:p>
            <w:pPr>
              <w:spacing w:after="0"/>
              <w:rPr>
                <w:sz w:val="18"/>
                <w:szCs w:val="18"/>
                <w:color w:val="auto"/>
              </w:rPr>
            </w:pP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131,510</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475,960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524,317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(31,120)</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(136,292)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2,734</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205</w:t>
            </w:r>
          </w:p>
        </w:tc>
        <w:tc>
          <w:tcPr>
            <w:tcW w:w="34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(7,049)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 made</w:t>
            </w:r>
          </w:p>
        </w:tc>
        <w:tc>
          <w:tcPr>
            <w:tcW w:w="11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(1,480)</w:t>
            </w: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Additions to property and equipment</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(38,860)</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(69,107)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activity</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1,757</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(66,764)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(254,768)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(75,853)</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(170,968)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exercised</w:t>
            </w:r>
          </w:p>
        </w:tc>
        <w:tc>
          <w:tcPr>
            <w:tcW w:w="112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28,838</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Dividends paid to stockholders</w:t>
            </w:r>
          </w:p>
        </w:tc>
        <w:tc>
          <w:tcPr>
            <w:tcW w:w="1120" w:type="dxa"/>
            <w:vAlign w:val="bottom"/>
            <w:gridSpan w:val="4"/>
          </w:tcPr>
          <w:p>
            <w:pPr>
              <w:jc w:val="right"/>
              <w:ind w:right="300"/>
              <w:spacing w:after="0"/>
              <w:rPr>
                <w:sz w:val="20"/>
                <w:szCs w:val="20"/>
                <w:color w:val="auto"/>
              </w:rPr>
            </w:pPr>
            <w:r>
              <w:rPr>
                <w:rFonts w:ascii="Arial" w:cs="Arial" w:eastAsia="Arial" w:hAnsi="Arial"/>
                <w:sz w:val="18"/>
                <w:szCs w:val="18"/>
                <w:color w:val="auto"/>
              </w:rPr>
              <w:t>(89,577)</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(110,767)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(136,572)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(196,930)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Net increase during period</w:t>
            </w:r>
          </w:p>
        </w:tc>
        <w:tc>
          <w:tcPr>
            <w:tcW w:w="780" w:type="dxa"/>
            <w:vAlign w:val="bottom"/>
            <w:gridSpan w:val="3"/>
          </w:tcPr>
          <w:p>
            <w:pPr>
              <w:jc w:val="right"/>
              <w:ind w:right="20"/>
              <w:spacing w:after="0"/>
              <w:rPr>
                <w:sz w:val="20"/>
                <w:szCs w:val="20"/>
                <w:color w:val="auto"/>
              </w:rPr>
            </w:pPr>
            <w:r>
              <w:rPr>
                <w:rFonts w:ascii="Arial" w:cs="Arial" w:eastAsia="Arial" w:hAnsi="Arial"/>
                <w:sz w:val="18"/>
                <w:szCs w:val="18"/>
                <w:color w:val="auto"/>
              </w:rPr>
              <w:t>272,624</w:t>
            </w:r>
          </w:p>
        </w:tc>
        <w:tc>
          <w:tcPr>
            <w:tcW w:w="3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72,619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beginning of year</w:t>
            </w:r>
          </w:p>
        </w:tc>
        <w:tc>
          <w:tcPr>
            <w:tcW w:w="7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499,750</w:t>
            </w:r>
          </w:p>
        </w:tc>
        <w:tc>
          <w:tcPr>
            <w:tcW w:w="3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803,589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At end of period</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$ 772,374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$ 876,208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8"/>
                <w:szCs w:val="18"/>
                <w:color w:val="auto"/>
                <w:w w:val="96"/>
              </w:rPr>
              <w:t>Additional</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Deferred stock-</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capital in</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7"/>
              </w:rPr>
              <w:t>other</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based</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Total</w:t>
            </w:r>
          </w:p>
        </w:tc>
      </w:tr>
      <w:tr>
        <w:trPr>
          <w:trHeight w:val="216"/>
        </w:trPr>
        <w:tc>
          <w:tcPr>
            <w:tcW w:w="308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4"/>
          </w:tcPr>
          <w:p>
            <w:pPr>
              <w:jc w:val="center"/>
              <w:ind w:right="40"/>
              <w:spacing w:after="0"/>
              <w:rPr>
                <w:sz w:val="20"/>
                <w:szCs w:val="20"/>
                <w:color w:val="auto"/>
              </w:rPr>
            </w:pPr>
            <w:r>
              <w:rPr>
                <w:rFonts w:ascii="Arial" w:cs="Arial" w:eastAsia="Arial" w:hAnsi="Arial"/>
                <w:sz w:val="18"/>
                <w:szCs w:val="18"/>
                <w:color w:val="auto"/>
                <w:w w:val="87"/>
              </w:rPr>
              <w:t>excess of par</w:t>
            </w:r>
          </w:p>
        </w:tc>
        <w:tc>
          <w:tcPr>
            <w:tcW w:w="24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w w:val="99"/>
              </w:rPr>
              <w:t>Retained</w:t>
            </w:r>
          </w:p>
        </w:tc>
        <w:tc>
          <w:tcPr>
            <w:tcW w:w="1580" w:type="dxa"/>
            <w:vAlign w:val="bottom"/>
            <w:gridSpan w:val="4"/>
          </w:tcPr>
          <w:p>
            <w:pPr>
              <w:jc w:val="center"/>
              <w:ind w:right="20"/>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compensation</w:t>
            </w:r>
          </w:p>
        </w:tc>
        <w:tc>
          <w:tcPr>
            <w:tcW w:w="1280" w:type="dxa"/>
            <w:vAlign w:val="bottom"/>
            <w:gridSpan w:val="4"/>
          </w:tcPr>
          <w:p>
            <w:pPr>
              <w:ind w:left="240"/>
              <w:spacing w:after="0"/>
              <w:rPr>
                <w:sz w:val="20"/>
                <w:szCs w:val="20"/>
                <w:color w:val="auto"/>
              </w:rPr>
            </w:pPr>
            <w:r>
              <w:rPr>
                <w:rFonts w:ascii="Arial" w:cs="Arial" w:eastAsia="Arial" w:hAnsi="Arial"/>
                <w:sz w:val="18"/>
                <w:szCs w:val="18"/>
                <w:color w:val="auto"/>
                <w:w w:val="97"/>
              </w:rPr>
              <w:t>stockholders'</w:t>
            </w:r>
          </w:p>
        </w:tc>
      </w:tr>
      <w:tr>
        <w:trPr>
          <w:trHeight w:val="230"/>
        </w:trPr>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stock</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value</w:t>
            </w:r>
          </w:p>
        </w:tc>
        <w:tc>
          <w:tcPr>
            <w:tcW w:w="24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income</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8"/>
                <w:szCs w:val="18"/>
                <w:color w:val="auto"/>
                <w:w w:val="85"/>
              </w:rPr>
              <w:t>expense</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equity</w:t>
            </w:r>
          </w:p>
        </w:tc>
      </w:tr>
      <w:tr>
        <w:trPr>
          <w:trHeight w:val="195"/>
        </w:trPr>
        <w:tc>
          <w:tcPr>
            <w:tcW w:w="3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Balances at December 31, 2005,</w:t>
            </w: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131,678,371 common shares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26,336</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279,680</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$ 1,683,273</w:t>
            </w:r>
          </w:p>
        </w:tc>
        <w:tc>
          <w:tcPr>
            <w:tcW w:w="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(1,731)</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2,036,102</w:t>
            </w: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Reclassification arising from</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adoption of SFAS 123R</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(1,731)</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1,731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1,402,915 common shares issued</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upon option exercises under</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 plans</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49,672</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49,953</w:t>
            </w: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1,000 restricted common shares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forfeited</w:t>
            </w:r>
          </w:p>
        </w:tc>
        <w:tc>
          <w:tcPr>
            <w:tcW w:w="120" w:type="dxa"/>
            <w:vAlign w:val="bottom"/>
          </w:tcPr>
          <w:p>
            <w:pPr>
              <w:spacing w:after="0"/>
              <w:rPr>
                <w:sz w:val="20"/>
                <w:szCs w:val="20"/>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1,533,076 common shares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repurchased</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(117,385)</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(117,692)</w:t>
            </w: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131,547,210 common shares issued</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in two-for-one split</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26,309</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(26,309)</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52,619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183,903</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1,683,274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48,544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1,968,340</w:t>
            </w:r>
          </w:p>
        </w:tc>
      </w:tr>
      <w:tr>
        <w:trPr>
          <w:trHeight w:val="202"/>
        </w:trPr>
        <w:tc>
          <w:tcPr>
            <w:tcW w:w="3080" w:type="dxa"/>
            <w:vAlign w:val="bottom"/>
          </w:tcPr>
          <w:p>
            <w:pPr>
              <w:spacing w:after="0" w:line="201" w:lineRule="exact"/>
              <w:rPr>
                <w:sz w:val="20"/>
                <w:szCs w:val="20"/>
                <w:color w:val="auto"/>
              </w:rPr>
            </w:pPr>
            <w:r>
              <w:rPr>
                <w:rFonts w:ascii="Arial" w:cs="Arial" w:eastAsia="Arial" w:hAnsi="Arial"/>
                <w:sz w:val="18"/>
                <w:szCs w:val="18"/>
                <w:color w:val="auto"/>
              </w:rPr>
              <w:t>Common shares issued under stock-</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based compensation plans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308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rPr>
              <w:t>4,000 restricted common</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080" w:type="dxa"/>
            <w:vAlign w:val="bottom"/>
          </w:tcPr>
          <w:p>
            <w:pPr>
              <w:ind w:left="480"/>
              <w:spacing w:after="0" w:line="201" w:lineRule="exact"/>
              <w:rPr>
                <w:sz w:val="20"/>
                <w:szCs w:val="20"/>
                <w:color w:val="auto"/>
              </w:rPr>
            </w:pPr>
            <w:r>
              <w:rPr>
                <w:rFonts w:ascii="Arial" w:cs="Arial" w:eastAsia="Arial" w:hAnsi="Arial"/>
                <w:sz w:val="18"/>
                <w:szCs w:val="18"/>
                <w:color w:val="auto"/>
              </w:rPr>
              <w:t>1,800,814 common shares</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080" w:type="dxa"/>
            <w:vAlign w:val="bottom"/>
          </w:tcPr>
          <w:p>
            <w:pPr>
              <w:ind w:left="680"/>
              <w:spacing w:after="0"/>
              <w:rPr>
                <w:sz w:val="20"/>
                <w:szCs w:val="20"/>
                <w:color w:val="auto"/>
              </w:rPr>
            </w:pPr>
            <w:r>
              <w:rPr>
                <w:rFonts w:ascii="Arial" w:cs="Arial" w:eastAsia="Arial" w:hAnsi="Arial"/>
                <w:sz w:val="18"/>
                <w:szCs w:val="18"/>
                <w:color w:val="auto"/>
              </w:rPr>
              <w:t>upon option exercises</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27,849</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28,209</w:t>
            </w:r>
          </w:p>
        </w:tc>
      </w:tr>
      <w:tr>
        <w:trPr>
          <w:trHeight w:val="202"/>
        </w:trPr>
        <w:tc>
          <w:tcPr>
            <w:tcW w:w="3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1,435,000 common shares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repurchased</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(52,989)</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(53,276)</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380,595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3080" w:type="dxa"/>
            <w:vAlign w:val="bottom"/>
          </w:tcPr>
          <w:p>
            <w:pPr>
              <w:ind w:left="220"/>
              <w:spacing w:after="0" w:line="201" w:lineRule="exact"/>
              <w:rPr>
                <w:sz w:val="20"/>
                <w:szCs w:val="20"/>
                <w:color w:val="auto"/>
              </w:rPr>
            </w:pPr>
            <w:r>
              <w:rPr>
                <w:rFonts w:ascii="Arial" w:cs="Arial" w:eastAsia="Arial" w:hAnsi="Arial"/>
                <w:sz w:val="18"/>
                <w:szCs w:val="18"/>
                <w:color w:val="auto"/>
              </w:rPr>
              <w:t>Change in unrealized security</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80" w:type="dxa"/>
            <w:vAlign w:val="bottom"/>
          </w:tcPr>
          <w:p>
            <w:pPr>
              <w:ind w:left="420"/>
              <w:spacing w:after="0"/>
              <w:rPr>
                <w:sz w:val="20"/>
                <w:szCs w:val="20"/>
                <w:color w:val="auto"/>
              </w:rPr>
            </w:pPr>
            <w:r>
              <w:rPr>
                <w:rFonts w:ascii="Arial" w:cs="Arial" w:eastAsia="Arial" w:hAnsi="Arial"/>
                <w:sz w:val="18"/>
                <w:szCs w:val="18"/>
                <w:color w:val="auto"/>
              </w:rPr>
              <w:t>holding gains, net of taxes,</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ind w:left="420"/>
              <w:spacing w:after="0"/>
              <w:rPr>
                <w:sz w:val="20"/>
                <w:szCs w:val="20"/>
                <w:color w:val="auto"/>
              </w:rPr>
            </w:pPr>
            <w:r>
              <w:rPr>
                <w:rFonts w:ascii="Arial" w:cs="Arial" w:eastAsia="Arial" w:hAnsi="Arial"/>
                <w:sz w:val="18"/>
                <w:szCs w:val="18"/>
                <w:color w:val="auto"/>
              </w:rPr>
              <w:t>including $4,328 in the third</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80" w:type="dxa"/>
            <w:vAlign w:val="bottom"/>
          </w:tcPr>
          <w:p>
            <w:pPr>
              <w:ind w:left="420"/>
              <w:spacing w:after="0"/>
              <w:rPr>
                <w:sz w:val="20"/>
                <w:szCs w:val="20"/>
                <w:color w:val="auto"/>
              </w:rPr>
            </w:pPr>
            <w:r>
              <w:rPr>
                <w:rFonts w:ascii="Arial" w:cs="Arial" w:eastAsia="Arial" w:hAnsi="Arial"/>
                <w:sz w:val="18"/>
                <w:szCs w:val="18"/>
                <w:color w:val="auto"/>
              </w:rPr>
              <w:t>quarter</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8,258</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388,853</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45,137</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45,137</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(110,776)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(110,776)</w:t>
            </w:r>
          </w:p>
        </w:tc>
      </w:tr>
      <w:tr>
        <w:trPr>
          <w:trHeight w:val="209"/>
        </w:trPr>
        <w:tc>
          <w:tcPr>
            <w:tcW w:w="3080" w:type="dxa"/>
            <w:vAlign w:val="bottom"/>
          </w:tcPr>
          <w:p>
            <w:pPr>
              <w:spacing w:after="0"/>
              <w:rPr>
                <w:sz w:val="20"/>
                <w:szCs w:val="20"/>
                <w:color w:val="auto"/>
              </w:rPr>
            </w:pPr>
            <w:r>
              <w:rPr>
                <w:rFonts w:ascii="Arial" w:cs="Arial" w:eastAsia="Arial" w:hAnsi="Arial"/>
                <w:sz w:val="18"/>
                <w:szCs w:val="18"/>
                <w:color w:val="auto"/>
              </w:rPr>
              <w:t>Balances at September 30, 2006,</w:t>
            </w: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263,464,234 common shares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52,693</w:t>
            </w:r>
          </w:p>
        </w:tc>
        <w:tc>
          <w:tcPr>
            <w:tcW w:w="300" w:type="dxa"/>
            <w:vAlign w:val="bottom"/>
          </w:tcPr>
          <w:p>
            <w:pPr>
              <w:spacing w:after="0"/>
              <w:rPr>
                <w:sz w:val="20"/>
                <w:szCs w:val="20"/>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203,899</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$ 1,953,093</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56,802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2,266,487</w:t>
            </w:r>
          </w:p>
        </w:tc>
      </w:tr>
      <w:tr>
        <w:trPr>
          <w:trHeight w:val="20"/>
        </w:trPr>
        <w:tc>
          <w:tcPr>
            <w:tcW w:w="3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the accompanying notes to these unaudited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The investors that we serve are primarily domiciled in the United States of America.</w:t>
      </w:r>
    </w:p>
    <w:p>
      <w:pPr>
        <w:spacing w:after="0" w:line="8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which are, in the opinion of management, necessary to a fair statement of our results for the interim periods presented. All such adjustments are of a normal recurring nature.</w:t>
      </w:r>
    </w:p>
    <w:p>
      <w:pPr>
        <w:spacing w:after="0" w:line="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2005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2 — OTHER INTANGIBLE ASSETS.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June 19, 2006, we completed two transactions involving the merger of $615 million from the Preferred Group of Mutual Funds into ten of the T. Rowe Price mutual funds and the acquisition of $115 million in separate accounts. We paid $3.5 million as part of these transactions and recognized two related intangible assets that are being amortized on a straight-line basis over 8 years for the mutual fund customer relationships acquired and over 2.5 years for the separate account customer relationships acquired.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NOTE 3 — OTHER ASSETS.</w:t>
      </w:r>
    </w:p>
    <w:p>
      <w:pPr>
        <w:spacing w:after="0" w:line="117"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During the second and third quarters of 2006, we invested in $50 million of U.S. Treasury Notes that will yield 4.9 — 5.2% and mature over the period of April 2008 through July 2011. These investments are accounted for as held-to-maturity securities and are included in our balance sheet in other assets. Our carrying amount at September 30, 2006 totals $50.5 million representing the amortized cost of the notes and accrued interest thereon.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NOTE 4 — COMMON STOCK SPLIT.</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the close of business on June 23, 2006, we effected a two-for-one split of our common stock by issuing additional $.20 par value shares. Accordingly, the par value of the additional shares issued has been reclassified among our stockholders’ equity accounts in the accompanying unaudited condensed consolidated statement of stockholders’ equity. All per-share and share data in the accompanying unaudited condensed consolidated statements of income and in these accompanying notes has been adjusted to give retroactive effect to this stock split.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NOTE 5 — INFORMATION ABOUT REVENUES AND SERVICES.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Revenues (in thousands) from advisory services provided under agreements with sponsored mutual funds and other investment clients for the interim periods ended September 30 include: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60" w:type="dxa"/>
            <w:vAlign w:val="bottom"/>
            <w:gridSpan w:val="5"/>
          </w:tcPr>
          <w:p>
            <w:pPr>
              <w:jc w:val="right"/>
              <w:ind w:right="980"/>
              <w:spacing w:after="0"/>
              <w:rPr>
                <w:sz w:val="20"/>
                <w:szCs w:val="20"/>
                <w:color w:val="auto"/>
              </w:rPr>
            </w:pPr>
            <w:r>
              <w:rPr>
                <w:rFonts w:ascii="Arial" w:cs="Arial" w:eastAsia="Arial" w:hAnsi="Arial"/>
                <w:sz w:val="18"/>
                <w:szCs w:val="18"/>
                <w:color w:val="auto"/>
              </w:rPr>
              <w:t>Three months ended</w:t>
            </w:r>
          </w:p>
        </w:tc>
        <w:tc>
          <w:tcPr>
            <w:tcW w:w="2340" w:type="dxa"/>
            <w:vAlign w:val="bottom"/>
            <w:gridSpan w:val="5"/>
          </w:tcPr>
          <w:p>
            <w:pPr>
              <w:ind w:left="420"/>
              <w:spacing w:after="0"/>
              <w:rPr>
                <w:sz w:val="20"/>
                <w:szCs w:val="20"/>
                <w:color w:val="auto"/>
              </w:rPr>
            </w:pPr>
            <w:r>
              <w:rPr>
                <w:rFonts w:ascii="Arial" w:cs="Arial" w:eastAsia="Arial" w:hAnsi="Arial"/>
                <w:sz w:val="18"/>
                <w:szCs w:val="18"/>
                <w:color w:val="auto"/>
              </w:rPr>
              <w:t>Nine months ended</w:t>
            </w:r>
          </w:p>
        </w:tc>
      </w:tr>
      <w:tr>
        <w:trPr>
          <w:trHeight w:val="210"/>
        </w:trPr>
        <w:tc>
          <w:tcPr>
            <w:tcW w:w="6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tcBorders>
              <w:top w:val="single" w:sz="8" w:color="auto"/>
            </w:tcBorders>
            <w:gridSpan w:val="3"/>
          </w:tcPr>
          <w:p>
            <w:pPr>
              <w:jc w:val="right"/>
              <w:ind w:right="660"/>
              <w:spacing w:after="0"/>
              <w:rPr>
                <w:sz w:val="20"/>
                <w:szCs w:val="20"/>
                <w:color w:val="auto"/>
              </w:rPr>
            </w:pPr>
            <w:r>
              <w:rPr>
                <w:rFonts w:ascii="Arial" w:cs="Arial" w:eastAsia="Arial" w:hAnsi="Arial"/>
                <w:sz w:val="18"/>
                <w:szCs w:val="18"/>
                <w:color w:val="auto"/>
                <w:w w:val="87"/>
              </w:rPr>
              <w:t>9/30/2005</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9/30/2006</w:t>
            </w:r>
          </w:p>
        </w:tc>
        <w:tc>
          <w:tcPr>
            <w:tcW w:w="660" w:type="dxa"/>
            <w:vAlign w:val="bottom"/>
          </w:tcPr>
          <w:p>
            <w:pPr>
              <w:spacing w:after="0"/>
              <w:rPr>
                <w:sz w:val="18"/>
                <w:szCs w:val="18"/>
                <w:color w:val="auto"/>
              </w:rPr>
            </w:pPr>
          </w:p>
        </w:tc>
        <w:tc>
          <w:tcPr>
            <w:tcW w:w="140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8"/>
                <w:szCs w:val="18"/>
                <w:color w:val="auto"/>
                <w:w w:val="89"/>
              </w:rPr>
              <w:t>9/30/2005</w:t>
            </w: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9/30/2006</w:t>
            </w:r>
          </w:p>
        </w:tc>
        <w:tc>
          <w:tcPr>
            <w:tcW w:w="100" w:type="dxa"/>
            <w:vAlign w:val="bottom"/>
          </w:tcPr>
          <w:p>
            <w:pPr>
              <w:spacing w:after="0"/>
              <w:rPr>
                <w:sz w:val="18"/>
                <w:szCs w:val="18"/>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220"/>
              <w:spacing w:after="0"/>
              <w:rPr>
                <w:sz w:val="20"/>
                <w:szCs w:val="20"/>
                <w:color w:val="auto"/>
              </w:rPr>
            </w:pPr>
            <w:r>
              <w:rPr>
                <w:rFonts w:ascii="Arial" w:cs="Arial" w:eastAsia="Arial" w:hAnsi="Arial"/>
                <w:sz w:val="18"/>
                <w:szCs w:val="18"/>
                <w:color w:val="auto"/>
              </w:rPr>
              <w:t>Stock and balanced</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$ 198,379</w:t>
            </w:r>
          </w:p>
        </w:tc>
        <w:tc>
          <w:tcPr>
            <w:tcW w:w="64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$ 230,954</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$ 551,026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685,990</w:t>
            </w:r>
          </w:p>
        </w:tc>
      </w:tr>
      <w:tr>
        <w:trPr>
          <w:trHeight w:val="216"/>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4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36,246</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39,800</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105,926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114,104</w:t>
            </w:r>
          </w:p>
        </w:tc>
      </w:tr>
      <w:tr>
        <w:trPr>
          <w:trHeight w:val="223"/>
        </w:trPr>
        <w:tc>
          <w:tcPr>
            <w:tcW w:w="6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234,625</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270,754</w:t>
            </w:r>
          </w:p>
        </w:tc>
        <w:tc>
          <w:tcPr>
            <w:tcW w:w="6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656,952</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800,094</w:t>
            </w:r>
          </w:p>
        </w:tc>
        <w:tc>
          <w:tcPr>
            <w:tcW w:w="10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40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85,342</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104,469</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247,549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298,783</w:t>
            </w: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$ 319,967</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$ 375,223</w:t>
            </w:r>
          </w:p>
        </w:tc>
        <w:tc>
          <w:tcPr>
            <w:tcW w:w="6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$ 904,501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1,098,877</w:t>
            </w:r>
          </w:p>
        </w:tc>
        <w:tc>
          <w:tcPr>
            <w:tcW w:w="10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various investment portfolios and assets under management (in billions) on which advisory fees are earned.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Average during</w:t>
            </w: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9"/>
          </w:tcPr>
          <w:p>
            <w:pPr>
              <w:jc w:val="center"/>
              <w:ind w:right="240"/>
              <w:spacing w:after="0"/>
              <w:rPr>
                <w:sz w:val="20"/>
                <w:szCs w:val="20"/>
                <w:color w:val="auto"/>
              </w:rPr>
            </w:pPr>
            <w:r>
              <w:rPr>
                <w:rFonts w:ascii="Arial" w:cs="Arial" w:eastAsia="Arial" w:hAnsi="Arial"/>
                <w:sz w:val="18"/>
                <w:szCs w:val="18"/>
                <w:color w:val="auto"/>
                <w:w w:val="91"/>
              </w:rPr>
              <w:t>Average during</w:t>
            </w:r>
          </w:p>
        </w:tc>
      </w:tr>
      <w:tr>
        <w:trPr>
          <w:trHeight w:val="230"/>
        </w:trPr>
        <w:tc>
          <w:tcPr>
            <w:tcW w:w="45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the third quarter</w:t>
            </w: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0" w:type="dxa"/>
            <w:vAlign w:val="bottom"/>
            <w:gridSpan w:val="9"/>
          </w:tcPr>
          <w:p>
            <w:pPr>
              <w:jc w:val="center"/>
              <w:ind w:right="240"/>
              <w:spacing w:after="0"/>
              <w:rPr>
                <w:sz w:val="20"/>
                <w:szCs w:val="20"/>
                <w:color w:val="auto"/>
              </w:rPr>
            </w:pPr>
            <w:r>
              <w:rPr>
                <w:rFonts w:ascii="Arial" w:cs="Arial" w:eastAsia="Arial" w:hAnsi="Arial"/>
                <w:sz w:val="18"/>
                <w:szCs w:val="18"/>
                <w:color w:val="auto"/>
                <w:w w:val="91"/>
              </w:rPr>
              <w:t>the first nine months</w:t>
            </w:r>
          </w:p>
        </w:tc>
      </w:tr>
      <w:tr>
        <w:trPr>
          <w:trHeight w:val="210"/>
        </w:trPr>
        <w:tc>
          <w:tcPr>
            <w:tcW w:w="4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4"/>
              </w:rPr>
              <w:t>2005</w:t>
            </w: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2006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2005</w:t>
            </w: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4"/>
              </w:rPr>
              <w:t>2006</w:t>
            </w:r>
          </w:p>
        </w:tc>
        <w:tc>
          <w:tcPr>
            <w:tcW w:w="100" w:type="dxa"/>
            <w:vAlign w:val="bottom"/>
          </w:tcPr>
          <w:p>
            <w:pPr>
              <w:spacing w:after="0"/>
              <w:rPr>
                <w:sz w:val="18"/>
                <w:szCs w:val="18"/>
                <w:color w:val="auto"/>
              </w:rPr>
            </w:pP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balanced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129.0</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149.0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4"/>
          </w:tcPr>
          <w:p>
            <w:pPr>
              <w:jc w:val="right"/>
              <w:ind w:right="320"/>
              <w:spacing w:after="0"/>
              <w:rPr>
                <w:sz w:val="20"/>
                <w:szCs w:val="20"/>
                <w:color w:val="auto"/>
              </w:rPr>
            </w:pPr>
            <w:r>
              <w:rPr>
                <w:rFonts w:ascii="Arial" w:cs="Arial" w:eastAsia="Arial" w:hAnsi="Arial"/>
                <w:sz w:val="18"/>
                <w:szCs w:val="18"/>
                <w:color w:val="auto"/>
              </w:rPr>
              <w:t>120.9</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148.6</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184.4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152.9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92.5</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113.5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89.7</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297.9</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242.6</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gridSpan w:val="8"/>
          </w:tcPr>
          <w:p>
            <w:pPr>
              <w:ind w:left="920"/>
              <w:spacing w:after="0"/>
              <w:rPr>
                <w:sz w:val="20"/>
                <w:szCs w:val="20"/>
                <w:color w:val="auto"/>
              </w:rPr>
            </w:pPr>
            <w:r>
              <w:rPr>
                <w:rFonts w:ascii="Arial" w:cs="Arial" w:eastAsia="Arial" w:hAnsi="Arial"/>
                <w:sz w:val="18"/>
                <w:szCs w:val="18"/>
                <w:color w:val="auto"/>
                <w:w w:val="93"/>
              </w:rPr>
              <w:t>12/31/2005</w:t>
            </w:r>
          </w:p>
        </w:tc>
        <w:tc>
          <w:tcPr>
            <w:tcW w:w="320" w:type="dxa"/>
            <w:vAlign w:val="bottom"/>
          </w:tcPr>
          <w:p>
            <w:pPr>
              <w:spacing w:after="0"/>
              <w:rPr>
                <w:sz w:val="24"/>
                <w:szCs w:val="24"/>
                <w:color w:val="auto"/>
              </w:rPr>
            </w:pPr>
          </w:p>
        </w:tc>
        <w:tc>
          <w:tcPr>
            <w:tcW w:w="1140" w:type="dxa"/>
            <w:vAlign w:val="bottom"/>
            <w:gridSpan w:val="5"/>
          </w:tcPr>
          <w:p>
            <w:pPr>
              <w:jc w:val="right"/>
              <w:ind w:right="100"/>
              <w:spacing w:after="0"/>
              <w:rPr>
                <w:sz w:val="20"/>
                <w:szCs w:val="20"/>
                <w:color w:val="auto"/>
              </w:rPr>
            </w:pPr>
            <w:r>
              <w:rPr>
                <w:rFonts w:ascii="Arial" w:cs="Arial" w:eastAsia="Arial" w:hAnsi="Arial"/>
                <w:sz w:val="18"/>
                <w:szCs w:val="18"/>
                <w:color w:val="auto"/>
              </w:rPr>
              <w:t>9/30/2006</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Stock and balanced</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4"/>
          </w:tcPr>
          <w:p>
            <w:pPr>
              <w:ind w:left="9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137.7</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154.7</w:t>
            </w:r>
          </w:p>
        </w:tc>
      </w:tr>
      <w:tr>
        <w:trPr>
          <w:trHeight w:val="216"/>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19"/>
                <w:szCs w:val="19"/>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w:t>
            </w:r>
          </w:p>
        </w:tc>
      </w:tr>
      <w:tr>
        <w:trPr>
          <w:trHeight w:val="223"/>
        </w:trPr>
        <w:tc>
          <w:tcPr>
            <w:tcW w:w="45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308.1</w:t>
            </w:r>
          </w:p>
        </w:tc>
        <w:tc>
          <w:tcPr>
            <w:tcW w:w="100" w:type="dxa"/>
            <w:vAlign w:val="bottom"/>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289" w:gutter="0" w:footer="0" w:header="0"/>
        </w:sectPr>
      </w:pPr>
    </w:p>
    <w:bookmarkStart w:id="7" w:name="page8"/>
    <w:bookmarkEnd w:id="7"/>
    <w:p>
      <w:pPr>
        <w:jc w:val="both"/>
        <w:ind w:right="180"/>
        <w:spacing w:after="0" w:line="264" w:lineRule="auto"/>
        <w:rPr>
          <w:sz w:val="20"/>
          <w:szCs w:val="20"/>
          <w:color w:val="auto"/>
        </w:rPr>
      </w:pPr>
      <w:r>
        <w:rPr>
          <w:rFonts w:ascii="Arial" w:cs="Arial" w:eastAsia="Arial" w:hAnsi="Arial"/>
          <w:sz w:val="18"/>
          <w:szCs w:val="18"/>
          <w:color w:val="auto"/>
        </w:rPr>
        <w:t>Fees for advisory-related administrative services provided to our sponsored mutual funds were $155,924,000 and $177,133,000 for the first nine months of 2005 and 2006, respectively. Accounts receivable from the mutual funds aggregate $104,537,000 at December 31, 2005 and $109,328,000 at September 30, 2006.</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NOTE 6 — STOCK-BASED COMPENSATION.</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On January 1, 2006, we adopted the provisions of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(SFAS 123R), and began recognizing stock option-based compensation expense in our consolidated statement of income using the fair value based method applied on a modified prospective basis. Accordingly, financial statements for periods prior to 2006 have not been restated.</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compares our interim net income (in thousands) and earnings per share for 2006 with the pro forma interim 2005 results as if we applied the fair value based method last year.</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8"/>
                <w:szCs w:val="18"/>
                <w:color w:val="auto"/>
              </w:rPr>
              <w:t>Three months ended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20" w:type="dxa"/>
            <w:vAlign w:val="bottom"/>
            <w:gridSpan w:val="6"/>
          </w:tcPr>
          <w:p>
            <w:pPr>
              <w:ind w:left="24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9"/>
              </w:rPr>
              <w:t>9/30/2005</w:t>
            </w:r>
          </w:p>
        </w:tc>
        <w:tc>
          <w:tcPr>
            <w:tcW w:w="6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9/30/2006</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Borders>
              <w:top w:val="single" w:sz="8" w:color="auto"/>
            </w:tcBorders>
            <w:gridSpan w:val="3"/>
          </w:tcPr>
          <w:p>
            <w:pPr>
              <w:jc w:val="right"/>
              <w:ind w:right="380"/>
              <w:spacing w:after="0"/>
              <w:rPr>
                <w:sz w:val="20"/>
                <w:szCs w:val="20"/>
                <w:color w:val="auto"/>
              </w:rPr>
            </w:pPr>
            <w:r>
              <w:rPr>
                <w:rFonts w:ascii="Arial" w:cs="Arial" w:eastAsia="Arial" w:hAnsi="Arial"/>
                <w:sz w:val="18"/>
                <w:szCs w:val="18"/>
                <w:color w:val="auto"/>
                <w:w w:val="87"/>
              </w:rPr>
              <w:t>9/30/2005</w:t>
            </w:r>
          </w:p>
        </w:tc>
        <w:tc>
          <w:tcPr>
            <w:tcW w:w="10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9/30/2006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116,335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128,190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313,381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380,595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line="201" w:lineRule="exact"/>
              <w:rPr>
                <w:sz w:val="20"/>
                <w:szCs w:val="20"/>
                <w:color w:val="auto"/>
              </w:rPr>
            </w:pPr>
            <w:r>
              <w:rPr>
                <w:rFonts w:ascii="Arial" w:cs="Arial" w:eastAsia="Arial" w:hAnsi="Arial"/>
                <w:sz w:val="18"/>
                <w:szCs w:val="18"/>
                <w:color w:val="auto"/>
                <w:w w:val="96"/>
              </w:rPr>
              <w:t>Additional stock-option based compensation expense estimated using the fair</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value based method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(13,428)</w:t>
            </w:r>
          </w:p>
        </w:tc>
        <w:tc>
          <w:tcPr>
            <w:tcW w:w="12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(40,462)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Related income tax benefits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4,359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Pro forma net income</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107,266</w:t>
            </w: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128,190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285,996</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380,595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00"/>
              <w:spacing w:after="0"/>
              <w:rPr>
                <w:sz w:val="20"/>
                <w:szCs w:val="20"/>
                <w:color w:val="auto"/>
              </w:rPr>
            </w:pPr>
            <w:r>
              <w:rPr>
                <w:rFonts w:ascii="Arial" w:cs="Arial" w:eastAsia="Arial" w:hAnsi="Arial"/>
                <w:sz w:val="18"/>
                <w:szCs w:val="18"/>
                <w:color w:val="auto"/>
              </w:rPr>
              <w:t>Basic — as reported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 — pro forma</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960" w:type="dxa"/>
            <w:vAlign w:val="bottom"/>
          </w:tcPr>
          <w:p>
            <w:pPr>
              <w:ind w:left="400"/>
              <w:spacing w:after="0"/>
              <w:rPr>
                <w:sz w:val="20"/>
                <w:szCs w:val="20"/>
                <w:color w:val="auto"/>
              </w:rPr>
            </w:pPr>
            <w:r>
              <w:rPr>
                <w:rFonts w:ascii="Arial" w:cs="Arial" w:eastAsia="Arial" w:hAnsi="Arial"/>
                <w:sz w:val="18"/>
                <w:szCs w:val="18"/>
                <w:color w:val="auto"/>
              </w:rPr>
              <w:t>Diluted — as reported</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0.43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0.46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 — pro forma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income for the 2006 periods includes stock-based compensation expense of $15,568,000 for the third quarter and $45,113,000 for the first nine months. Reload grants made during the same periods accounted for $2,389,000 and $5,585,000, respectively, of the expense recognized. Financing cash inflows from stock option exercises in the first nine months of 2006 include $53,140,000 of tax benefits arising from related tax deductions that reduce the amount of income taxes that would otherwise be payable.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nine months of 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3"/>
          </w:tcPr>
          <w:p>
            <w:pPr>
              <w:jc w:val="center"/>
              <w:ind w:right="620"/>
              <w:spacing w:after="0"/>
              <w:rPr>
                <w:sz w:val="20"/>
                <w:szCs w:val="20"/>
                <w:color w:val="auto"/>
              </w:rPr>
            </w:pPr>
            <w:r>
              <w:rPr>
                <w:rFonts w:ascii="Arial" w:cs="Arial" w:eastAsia="Arial" w:hAnsi="Arial"/>
                <w:sz w:val="18"/>
                <w:szCs w:val="18"/>
                <w:color w:val="auto"/>
                <w:w w:val="92"/>
              </w:rPr>
              <w:t>Weighted-</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Weighted-</w:t>
            </w:r>
          </w:p>
        </w:tc>
      </w:tr>
      <w:tr>
        <w:trPr>
          <w:trHeight w:val="216"/>
        </w:trPr>
        <w:tc>
          <w:tcPr>
            <w:tcW w:w="6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720"/>
              <w:spacing w:after="0"/>
              <w:rPr>
                <w:sz w:val="20"/>
                <w:szCs w:val="20"/>
                <w:color w:val="auto"/>
              </w:rPr>
            </w:pPr>
            <w:r>
              <w:rPr>
                <w:rFonts w:ascii="Arial" w:cs="Arial" w:eastAsia="Arial" w:hAnsi="Arial"/>
                <w:sz w:val="18"/>
                <w:szCs w:val="18"/>
                <w:color w:val="auto"/>
                <w:w w:val="86"/>
              </w:rPr>
              <w:t>average</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r>
      <w:tr>
        <w:trPr>
          <w:trHeight w:val="216"/>
        </w:trPr>
        <w:tc>
          <w:tcPr>
            <w:tcW w:w="6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80" w:type="dxa"/>
            <w:vAlign w:val="bottom"/>
            <w:gridSpan w:val="3"/>
          </w:tcPr>
          <w:p>
            <w:pPr>
              <w:jc w:val="center"/>
              <w:ind w:right="620"/>
              <w:spacing w:after="0"/>
              <w:rPr>
                <w:sz w:val="20"/>
                <w:szCs w:val="20"/>
                <w:color w:val="auto"/>
              </w:rPr>
            </w:pPr>
            <w:r>
              <w:rPr>
                <w:rFonts w:ascii="Arial" w:cs="Arial" w:eastAsia="Arial" w:hAnsi="Arial"/>
                <w:sz w:val="18"/>
                <w:szCs w:val="18"/>
                <w:color w:val="auto"/>
                <w:w w:val="89"/>
              </w:rPr>
              <w:t>exercise</w:t>
            </w:r>
          </w:p>
        </w:tc>
        <w:tc>
          <w:tcPr>
            <w:tcW w:w="1560" w:type="dxa"/>
            <w:vAlign w:val="bottom"/>
            <w:gridSpan w:val="2"/>
          </w:tcPr>
          <w:p>
            <w:pPr>
              <w:jc w:val="center"/>
              <w:ind w:right="640"/>
              <w:spacing w:after="0"/>
              <w:rPr>
                <w:sz w:val="20"/>
                <w:szCs w:val="20"/>
                <w:color w:val="auto"/>
              </w:rPr>
            </w:pPr>
            <w:r>
              <w:rPr>
                <w:rFonts w:ascii="Arial" w:cs="Arial" w:eastAsia="Arial" w:hAnsi="Arial"/>
                <w:sz w:val="18"/>
                <w:szCs w:val="18"/>
                <w:color w:val="auto"/>
                <w:w w:val="90"/>
              </w:rPr>
              <w:t>Options</w:t>
            </w:r>
          </w:p>
        </w:tc>
        <w:tc>
          <w:tcPr>
            <w:tcW w:w="8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exercise</w:t>
            </w:r>
          </w:p>
        </w:tc>
      </w:tr>
      <w:tr>
        <w:trPr>
          <w:trHeight w:val="230"/>
        </w:trPr>
        <w:tc>
          <w:tcPr>
            <w:tcW w:w="6080" w:type="dxa"/>
            <w:vAlign w:val="bottom"/>
          </w:tcPr>
          <w:p>
            <w:pPr>
              <w:spacing w:after="0"/>
              <w:rPr>
                <w:sz w:val="20"/>
                <w:szCs w:val="20"/>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Options</w:t>
            </w:r>
          </w:p>
        </w:tc>
        <w:tc>
          <w:tcPr>
            <w:tcW w:w="62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price</w:t>
            </w:r>
          </w:p>
        </w:tc>
        <w:tc>
          <w:tcPr>
            <w:tcW w:w="64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exercisable</w:t>
            </w:r>
          </w:p>
        </w:tc>
        <w:tc>
          <w:tcPr>
            <w:tcW w:w="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price</w:t>
            </w:r>
          </w:p>
        </w:tc>
        <w:tc>
          <w:tcPr>
            <w:tcW w:w="100" w:type="dxa"/>
            <w:vAlign w:val="bottom"/>
          </w:tcPr>
          <w:p>
            <w:pPr>
              <w:spacing w:after="0"/>
              <w:rPr>
                <w:sz w:val="20"/>
                <w:szCs w:val="20"/>
                <w:color w:val="auto"/>
              </w:rPr>
            </w:pP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45,896,848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21.42</w:t>
            </w:r>
          </w:p>
        </w:tc>
        <w:tc>
          <w:tcPr>
            <w:tcW w:w="15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26,979,048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Reload grants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941,161</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40.60</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grants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110,000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40.16</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Exercised</w:t>
            </w:r>
          </w:p>
        </w:tc>
        <w:tc>
          <w:tcPr>
            <w:tcW w:w="1540" w:type="dxa"/>
            <w:vAlign w:val="bottom"/>
            <w:gridSpan w:val="3"/>
          </w:tcPr>
          <w:p>
            <w:pPr>
              <w:jc w:val="right"/>
              <w:ind w:right="560"/>
              <w:spacing w:after="0"/>
              <w:rPr>
                <w:sz w:val="20"/>
                <w:szCs w:val="20"/>
                <w:color w:val="auto"/>
              </w:rPr>
            </w:pPr>
            <w:r>
              <w:rPr>
                <w:rFonts w:ascii="Arial" w:cs="Arial" w:eastAsia="Arial" w:hAnsi="Arial"/>
                <w:sz w:val="18"/>
                <w:szCs w:val="18"/>
                <w:color w:val="auto"/>
              </w:rPr>
              <w:t>(6,628,501)</w:t>
            </w:r>
          </w:p>
        </w:tc>
        <w:tc>
          <w:tcPr>
            <w:tcW w:w="10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color w:val="auto"/>
              </w:rPr>
              <w:t>16.20</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Forfeited or cancelled</w:t>
            </w:r>
          </w:p>
        </w:tc>
        <w:tc>
          <w:tcPr>
            <w:tcW w:w="15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(380,800)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26.77</w:t>
            </w: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Outstanding at September 30, 2006</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39,938,708</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84"/>
              </w:rPr>
              <w:t>22.</w:t>
            </w:r>
            <w:r>
              <w:rPr>
                <w:rFonts w:ascii="Arial" w:cs="Arial" w:eastAsia="Arial" w:hAnsi="Arial"/>
                <w:sz w:val="18"/>
                <w:szCs w:val="18"/>
                <w:u w:val="single" w:color="auto"/>
                <w:color w:val="auto"/>
                <w:w w:val="84"/>
              </w:rPr>
              <w:t>74</w:t>
            </w:r>
          </w:p>
        </w:tc>
        <w:tc>
          <w:tcPr>
            <w:tcW w:w="640" w:type="dxa"/>
            <w:vAlign w:val="bottom"/>
          </w:tcPr>
          <w:p>
            <w:pPr>
              <w:spacing w:after="0"/>
              <w:rPr>
                <w:sz w:val="19"/>
                <w:szCs w:val="19"/>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23,875,708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19.06</w:t>
            </w:r>
          </w:p>
        </w:tc>
      </w:tr>
      <w:tr>
        <w:trPr>
          <w:trHeight w:val="20"/>
        </w:trPr>
        <w:tc>
          <w:tcPr>
            <w:tcW w:w="6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 presents the future stock-based compensation expense (in thousands) expected to be recognized over the vesting period of the 16,063,000 nonvested options and 65,000 restricted shares outstanding at September 30, 2006.</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2006</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9,875</w:t>
            </w:r>
          </w:p>
        </w:tc>
        <w:tc>
          <w:tcPr>
            <w:tcW w:w="80" w:type="dxa"/>
            <w:vAlign w:val="bottom"/>
            <w:shd w:val="clear" w:color="auto" w:fill="CCEEFF"/>
          </w:tcPr>
          <w:p>
            <w:pPr>
              <w:spacing w:after="0"/>
              <w:rPr>
                <w:sz w:val="18"/>
                <w:szCs w:val="18"/>
                <w:color w:val="auto"/>
              </w:rPr>
            </w:pPr>
          </w:p>
        </w:tc>
      </w:tr>
      <w:tr>
        <w:trPr>
          <w:trHeight w:val="216"/>
        </w:trPr>
        <w:tc>
          <w:tcPr>
            <w:tcW w:w="10640" w:type="dxa"/>
            <w:vAlign w:val="bottom"/>
          </w:tcPr>
          <w:p>
            <w:pPr>
              <w:spacing w:after="0"/>
              <w:rPr>
                <w:sz w:val="20"/>
                <w:szCs w:val="20"/>
                <w:color w:val="auto"/>
              </w:rPr>
            </w:pPr>
            <w:r>
              <w:rPr>
                <w:rFonts w:ascii="Arial" w:cs="Arial" w:eastAsia="Arial" w:hAnsi="Arial"/>
                <w:sz w:val="18"/>
                <w:szCs w:val="18"/>
                <w:color w:val="auto"/>
              </w:rPr>
              <w:t>2007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28,489</w:t>
            </w:r>
          </w:p>
        </w:tc>
        <w:tc>
          <w:tcPr>
            <w:tcW w:w="80" w:type="dxa"/>
            <w:vAlign w:val="bottom"/>
          </w:tcPr>
          <w:p>
            <w:pPr>
              <w:spacing w:after="0"/>
              <w:rPr>
                <w:sz w:val="18"/>
                <w:szCs w:val="18"/>
                <w:color w:val="auto"/>
              </w:rPr>
            </w:pPr>
          </w:p>
        </w:tc>
      </w:tr>
      <w:tr>
        <w:trPr>
          <w:trHeight w:val="216"/>
        </w:trPr>
        <w:tc>
          <w:tcPr>
            <w:tcW w:w="10640" w:type="dxa"/>
            <w:vAlign w:val="bottom"/>
            <w:shd w:val="clear" w:color="auto" w:fill="CCEEFF"/>
          </w:tcPr>
          <w:p>
            <w:pPr>
              <w:spacing w:after="0"/>
              <w:rPr>
                <w:sz w:val="20"/>
                <w:szCs w:val="20"/>
                <w:color w:val="auto"/>
              </w:rPr>
            </w:pPr>
            <w:r>
              <w:rPr>
                <w:rFonts w:ascii="Arial" w:cs="Arial" w:eastAsia="Arial" w:hAnsi="Arial"/>
                <w:sz w:val="18"/>
                <w:szCs w:val="18"/>
                <w:color w:val="auto"/>
              </w:rPr>
              <w:t>2008 through 2011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24,613</w:t>
            </w:r>
          </w:p>
        </w:tc>
        <w:tc>
          <w:tcPr>
            <w:tcW w:w="80" w:type="dxa"/>
            <w:vAlign w:val="bottom"/>
            <w:shd w:val="clear" w:color="auto" w:fill="CCEEFF"/>
          </w:tcPr>
          <w:p>
            <w:pPr>
              <w:spacing w:after="0"/>
              <w:rPr>
                <w:sz w:val="18"/>
                <w:szCs w:val="18"/>
                <w:color w:val="auto"/>
              </w:rPr>
            </w:pPr>
          </w:p>
        </w:tc>
      </w:tr>
      <w:tr>
        <w:trPr>
          <w:trHeight w:val="223"/>
        </w:trPr>
        <w:tc>
          <w:tcPr>
            <w:tcW w:w="106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62,977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Estimated future compensation expense will change to reflect future option grants including reloads, future share awards, changes in estimated forfeitures, and adjustments for actual forfeitures.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7 — CREDIT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On May 30, 2006, we voluntarily terminated our $300 million syndicated credit facility that was to expire in June 2007.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have reviewed the accompanying condensed consolidated balance sheet of T. Rowe Price Group, Inc. and subsidiaries as of September 30, 2006, the related condensed consolidated statements of income for the three- and nine-month periods ended September 30, 2005 and 2006, the related condensed consolidated statements of cash flows for the nine-month periods ended September 30, 2005 and 2006, and the related condensed consolidated statement of stockholders’ equity for the nine-month period ended September 30, 2006. These condensed consolidated financial statements are the responsibility of the Company’s management.</w:t>
      </w:r>
    </w:p>
    <w:p>
      <w:pPr>
        <w:spacing w:after="0" w:line="80"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previously audited, in accordance with standards of the Public Company Accounting Oversight Board (United States), the consolidated balance sheet of T. Rowe Price Group, Inc. and subsidiaries as of December 31, 2005, and the related consolidated statements of income, cash flows, and stockholders’ equity for the year then ended (not presented herein); and in our report dated February 9, 2006, we expressed an unqualified opinion on those consolidated financial statements. In our opinion, the information set forth in the accompanying condensed consolidated balance sheet as of December 31, 2005, is fairly stated, in all material respects, in relation to the consolidated balance sheet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24, 2006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revenues and net income are derived primarily from investment advisory services provided to individual and institutional investors in our sponsored mutual funds and other managed investment portfolios. Investment advisory revenues depend largely on the total value and composition of assets under our management. Accordingly, fluctuations in financial markets and in the composition of assets under management impact our revenues and results of operations. Investment advisory clients outside the United States account for more than 6% of our assets under management at September 30, 2006.</w:t>
      </w:r>
    </w:p>
    <w:p>
      <w:pPr>
        <w:spacing w:after="0" w:line="4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Equity markets in the United States entered the third quarter of 2006 in an unsettled environment after posting mixed results during the first half of the year when the NASDAQ, which is heavily weighted with technology companies, was down 1.5%, the blue-chip Dow Industrials were up 4%, and the broad S&amp;P 500 was up less than 2%. July proved quite disappointing as even the favorable outcomes for the first six months were reversed. Market sentiment changed in early August when the Federal Reserve did not continue its series of interest rate increases. Taken together with declines in energy costs and increasing optimism about the U.S. economy, a stock market rally ensued, continuing through the third quarter and into October when the Dow Industrials reached new all-time highs. For the third quarter, the NASDAQ was up 4.0%, the Dow Industrials were up 4.7%, and the S&amp;P 500 posted a gain of 5.2%. For the first nine months of 2006, the Dow Industrials were up 9%, the S&amp;P 500 increased 7%, and the NASDAQ reversed its first half losses to post a 2.4% year-to-date increase.</w:t>
      </w:r>
    </w:p>
    <w:p>
      <w:pPr>
        <w:spacing w:after="0" w:line="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changing positive environment in the United States in the third quarter was mirrored by equity markets in most of the rest of the world. The Morgan Stanley EAFE (Europe, Australia and Far East) Index rose 3.4% bringing 2006 year-to-date gains to more than 12%.</w:t>
      </w:r>
    </w:p>
    <w:p>
      <w:pPr>
        <w:spacing w:after="0" w:line="62"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Yields for 10-year U.S. Treasuries declined to 4.64% at the end of the third quarter from 5.15% at June 30, 2006. The yield curve was inverted at quarter end with the six-month and two-year maturities yielding 38 and 7 basis points more, respectively, than the 10-year Treasuries. The Federal Reserve target short-term rate of 5.25% remained unchanged from the end of June 2006.</w:t>
      </w:r>
    </w:p>
    <w:p>
      <w:pPr>
        <w:spacing w:after="0" w:line="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 this financial environment, total assets under our management ended September 2006 at a record $308.1 billion, up 5% or $14.4 billion during the third quarter and $38.6 billion for the first nine months of the year. Our strong relative investment performance and brand awareness contributed significantly to investors entrusting a net of more than $4.2 billion to our management in the third quarter and $21.5 billion thus far in 2006. Year-to-date net inflows include $615 million from the merger of the Preferred Group of Mutual Funds into the T. Rowe Price funds and the acquisition of $115 million of separate account assets in the second quarter. Higher market valuations and income during the third quarter resulted in a $10.2 billion increase in our assets under management and, for the year-to-date period, market gains and income have added $17.1 billion to our assets under management.</w:t>
      </w:r>
    </w:p>
    <w:p>
      <w:pPr>
        <w:spacing w:after="0" w:line="5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Assets under management at September 30, 2006 include $242.7 billion in equity and balanced investment portfolios and $65.4 billion fixed income investment portfolios. The underlying investment portfolios consist of $190.8 billion in the T. Rowe Price mutual funds distributed in the United States and $117.3 billion in other investment portfolios that we manage, including separately managed accounts, sub-advised funds, and other sponsored investment funds offered to investors outside the U.S. and through variable annuity life insurance plans.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 Three months ended September 30, 2006 versus 2005.</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Investment advisory revenues were up 17% to $375 million as a result of a $44 billion increase in average assets under our management to $298 billion. Net revenues increased 16% or $62 million to almost $451 million. Net operating income increased 11.5% to $200.5 million from $179.9 million. Net income increased 10% to $128 million from $116 million in the 2005 quarter. Diluted earnings per share increased 7% from $.43 to $.46.</w:t>
      </w:r>
    </w:p>
    <w:p>
      <w:pPr>
        <w:spacing w:after="0" w:line="5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January 1, 2006, we adopted SFAS 123R and, for the third quarter of 2006, recognized $15.6 million of non-cash stock-based compensation expense using the fair value based method. Had we applied the fair value method in 2005, we would have recognized $13.4 million of additional compensation expense in the third quarter last year and our comparable pro forma diluted earnings for that period would have been $.39 per share. On a basis comparable with reported 2006 results, diluted earnings per share would have increased 18% from the 2005 quarter. See Note 6 to our financial statements in Item 1 of this report for more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We split our common stock two-for-one in June 2006 and have restated our per-share results for all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increased $36 million to nearly $271 million.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Average mutual fund assets were $184.4 billion in the 2006 quarter, 14% higher than the $161.6 billion average during the 2005 period. Mutual fund assets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ended the third quarter up $7.6 billion from June 30, 2006, as higher market valuations and income added $6.0 billion and net inflows to our funds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 billion during the period. Net inflows comprised more than $1 billion to our stock and balanced funds, including $.9 billion to the Growth Stock Fund,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$.6 billion to the bond and money market funds.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0" w:name="page11"/>
    <w:bookmarkEnd w:id="10"/>
    <w:p>
      <w:pPr>
        <w:ind w:right="180"/>
        <w:spacing w:after="0" w:line="264" w:lineRule="auto"/>
        <w:rPr>
          <w:sz w:val="20"/>
          <w:szCs w:val="20"/>
          <w:color w:val="auto"/>
        </w:rPr>
      </w:pPr>
      <w:r>
        <w:rPr>
          <w:rFonts w:ascii="Arial" w:cs="Arial" w:eastAsia="Arial" w:hAnsi="Arial"/>
          <w:sz w:val="18"/>
          <w:szCs w:val="18"/>
          <w:color w:val="auto"/>
        </w:rPr>
        <w:t>Investment advisory revenues earned on the other investment portfolios that we manage increased $19 million to $104.5 million as average assets increased nearly 23% versus the 2005 period to $113.5 billion. Assets in these portfolios increased $6.8 billion during the third quarter of 2006 from net inflows of $2.6 billion from investors in the U.S. and other countries and higher market valuations of more than $4.2 billion.</w:t>
      </w:r>
    </w:p>
    <w:p>
      <w:pPr>
        <w:spacing w:after="0" w:line="73"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Administrative fees and other income increased $6.6 million to $75 million. The change in these revenues includes $5.7 million from our servicing activities, including shareholder account and transaction volume in our transfer agent and defined contribution plan recordkeeping services for the mutual funds and their investors. Additionally, revenues increased $.9 million from 12b-1 distribution fees received on greater assets under management in the Advisor and R classes of our sponsored mutual fund shares. These changes in administrative fees are generally offset by similar changes in related operating expenses that we incur to provide these services and distribute the Advisor and R classes of mutual fund shares through third party financial intermediaries.</w:t>
      </w:r>
    </w:p>
    <w:p>
      <w:pPr>
        <w:spacing w:after="0" w:line="5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Operating expenses were $250 million in the third quarter of 2006, up $41 million from the 2005 period. Our largest expense, compensation and related costs, increased $36.7 million or 28% from last year’s quarter. The number of our associates, their total compensation, and the costs of their employee benefits have all increased. The most significant portion of the increase is attributable to the $15.6 million expense recognized for stock-based compensation in the 2006 quarter. Expenses in the 2006 period also reflect an increase in our interim bonus compensation accrual, which is based on projected operating results for</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2006 as well as our strong relative and risk-adjusted investment performance, our growth in assets under management including new investor inflows, and the high quality of our investor services. Finally, we modestly increase our associates’ base salaries at the beginning of each year, and have increased our average staff size by 5.4% since the third quarter of 2005, primarily to handle increased volume-related activities and growth. At September 30, 2006, we employed 4,495 associates.</w:t>
      </w:r>
    </w:p>
    <w:p>
      <w:pPr>
        <w:spacing w:after="0" w:line="8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Advertising and promotion expenditures increased 13%, or $2.1 million, versus the 2005 quarter. We expect our advertising and promotion expenditures in the fourth quarter of 2006 will be up about 10% versus the $28.4 million expended in the fourth quarter of 2005. We vary our level of spending based on market conditions and investor demand as well as our efforts to expand our investor base in the United States and abroad.</w:t>
      </w:r>
    </w:p>
    <w:p>
      <w:pPr>
        <w:spacing w:after="0" w:line="5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$2.5 million. Our costs for rented office facilities, including increased space, and related maintenance and operating costs have increased along with our staff size and business needs.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Other operating expenses were flat versus the 2005 period, including $.9 million of higher distribution expenses recognized on greater assets under management sourced from financial intermediaries that distribute our Advisor and R classes of mutual fund shares. These distribution costs are offset by an equal increase in our administrative revenues recognized from 12b-1 fees as discussed above.</w:t>
      </w:r>
    </w:p>
    <w:p>
      <w:pPr>
        <w:spacing w:after="0" w:line="7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net non-operating income, which includes interest income as well as the recognition of investment gains and losses and credit facility expenses, increased $12.6 million to $17.0 million. We realized a gain of $6.4 million in the 2006 quarter upon the realignment of a portion of our mutual fund investment holdings. Additionally, larger money market mutual fund balances yielding higher rates of return accounted for $5.2 million of the increase.</w:t>
      </w:r>
    </w:p>
    <w:p>
      <w:pPr>
        <w:spacing w:after="0" w:line="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third quarter 2006 income tax provision includes $2.4 million to increase the estimated effective tax rate on our pre-tax income for the year 2006 from 37.3% to 37.8%, and $5.3 million for additional prior years’ taxes. Together, these adjustments reduced our reported diluted earnings per share for the third quarter by $.03 per share. We currently estimate that the effective tax rate for the full year 2006 will be about 38.4%, including the additional accrual for prior years’ taxes and the effect of non-deductible incentive stock option compensation that we began recognizing in our consolidated statement of income this year.</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 Nine months ended September 30, 2006 versus 2005.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were up 21.5% to $1.1 billion as a result of a $49 billion increase in average assets under our management to more than</w:t>
      </w:r>
    </w:p>
    <w:p>
      <w:pPr>
        <w:spacing w:after="0" w:line="35" w:lineRule="exact"/>
        <w:rPr>
          <w:sz w:val="20"/>
          <w:szCs w:val="20"/>
          <w:color w:val="auto"/>
        </w:rPr>
      </w:pPr>
    </w:p>
    <w:p>
      <w:pPr>
        <w:ind w:right="200"/>
        <w:spacing w:after="0" w:line="295" w:lineRule="auto"/>
        <w:rPr>
          <w:sz w:val="20"/>
          <w:szCs w:val="20"/>
          <w:color w:val="auto"/>
        </w:rPr>
      </w:pPr>
      <w:r>
        <w:rPr>
          <w:rFonts w:ascii="Arial" w:cs="Arial" w:eastAsia="Arial" w:hAnsi="Arial"/>
          <w:sz w:val="16"/>
          <w:szCs w:val="16"/>
          <w:color w:val="auto"/>
        </w:rPr>
        <w:t>$291 billion. Net revenues increased $217 million to $1.3 billion. Net operating income increased 18.5% to $572 million from $483 million. Net income increased more than 21% to $380.6 million from $313.4 million in the 2005 period. Diluted earnings per share increased 19% from $1.15 to $1.37. Had we applied the fair value method to recognize stock option-based compensation in 2005, we would have recognized $40.5 million of additional compensation expense in the first nine-months of last year and our comparable pro forma diluted earnings for that period would have been $1.05 per share.</w:t>
      </w:r>
    </w:p>
    <w:p>
      <w:pPr>
        <w:spacing w:after="0" w:line="5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Investment advisory revenues earned from the T. Rowe Price mutual funds distributed in the United States increased $143 million to $800 million. Average mutual fund assets were $183 billion in the first nine months of 2006, nearly 20% higher than the $153 billion average during the 2005 period. Net inflows to the U.S. mutual funds were $9.7 billion during the first nine months of 2006, including $.6 billion from the merger of Preferred Group funds into the Price funds. Investors added $5.0 billion to the U.S. stock and balanced funds, $2.2 billion to our international stock funds, and $2.5 billion to our bond and money market funds. The Growth Stock Fund has added $2.9 billion of net investments this year while the Value Fund added more than $1.4 billion. Higher market valuations and income also added more than $10.8 billion to fund assets during the 2006 period.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spacing w:after="0"/>
        <w:rPr>
          <w:sz w:val="20"/>
          <w:szCs w:val="20"/>
          <w:color w:val="auto"/>
        </w:rPr>
      </w:pPr>
      <w:r>
        <w:rPr>
          <w:rFonts w:ascii="Arial" w:cs="Arial" w:eastAsia="Arial" w:hAnsi="Arial"/>
          <w:sz w:val="17"/>
          <w:szCs w:val="17"/>
          <w:color w:val="auto"/>
        </w:rPr>
        <w:t>Investment advisory revenues earned on the other investment portfolios that we manage increased $51 million to $299 million. Average assets in these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portfolios were $108.5 billion, up nearly $19 billion or 21% from almost $90 billion in the 2005 period. Assets in these portfolios have increased over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 billion thus far in 2006, including net inflows from U.S. and international investors of almost $11.8 billion and market gains and income of $6.3 billion.</w:t>
      </w:r>
    </w:p>
    <w:p>
      <w:pPr>
        <w:spacing w:after="0" w:line="12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Administrative fees and other income increased nearly $22 million to $226 million. The change in these revenues includes $18.3 million from our servicing activities including shareholder account and transaction volume in our transfer agent and defined contribution plan recordkeeping services for the mutual funds and their investors. Additionally, revenues increased $3.6 million from 12b-1 distribution fees received on greater assets under management in the Advisor and R classes of our sponsored mutual fund shares.</w:t>
      </w:r>
    </w:p>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Operating expenses were $754 million in the first nine months of 2006, up 20% or $127 million from the 2005 period. Our largest expense, compensation and related costs, increased 27% or $105.2 million from last year’s period. The largest portion of the increase is attributable to the $45.1 million expense recognized for stock-based compensation.</w:t>
      </w:r>
    </w:p>
    <w:p>
      <w:pPr>
        <w:spacing w:after="0" w:line="73" w:lineRule="exact"/>
        <w:rPr>
          <w:sz w:val="20"/>
          <w:szCs w:val="20"/>
          <w:color w:val="auto"/>
        </w:rPr>
      </w:pPr>
    </w:p>
    <w:p>
      <w:pPr>
        <w:ind w:right="440"/>
        <w:spacing w:after="0" w:line="361" w:lineRule="auto"/>
        <w:rPr>
          <w:sz w:val="20"/>
          <w:szCs w:val="20"/>
          <w:color w:val="auto"/>
        </w:rPr>
      </w:pPr>
      <w:r>
        <w:rPr>
          <w:rFonts w:ascii="Arial" w:cs="Arial" w:eastAsia="Arial" w:hAnsi="Arial"/>
          <w:sz w:val="16"/>
          <w:szCs w:val="16"/>
          <w:color w:val="auto"/>
        </w:rPr>
        <w:t>Advertising and promotion expenditures increased 15% or $8.8 million due to more favorable market conditions and investor demand in 2006. Occupancy and facility costs together with depreciation expense increased $7.7 million while other operating expenses increased $5.6 million, including</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$3.6 million of distribution expenses recognized on greater assets under management sourced from financial intermediaries that distribute our Advisor and R classes of mutual fund shares. Our operating costs have increased along with business needs and our increase in staff size.</w:t>
      </w:r>
    </w:p>
    <w:p>
      <w:pPr>
        <w:spacing w:after="0" w:line="7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net non-operating income, which includes interest income as well as the recognition of investment gains and losses and credit facility expenses, increased $36 million to $48 million. Larger money market mutual fund balances at higher interest rates added $15.7 million of the increase, the liquidation of the sponsored 2001 collateralized bond obligation in June 2006 added $11.5 million dollars, and gains on dispositions of mutual fund investments added $6.1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Stockholders’ equity at September 30, 2006 includes net liquid assets of more than $1.2 billion. Given our strong financial position, we terminated our $300 million syndicated credit facility in May 2006.</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Operating activities during the first nine months of 2006 provided cash flows of $524 million, up $48 million from the 2005 period, including increased net income of more than $67 million and non-cash stock-based compensation expense of $45 million. Timing differences in the cash settlements of our assets and liabilities, primarily third quarter U.S. income tax payments that were due in October of 2005 versus September of 2006, reduced comparative cash flows by $66 million. In addition, it should be noted that our interim operating cash outflows do not include bonus compensation that is accrued throughout the year before being substantially paid out in December. Net cash used in investing activities totaled $255 million, up $188 million from the 2005 period. Our investments in mutual funds and other securities made from our larger available cash balances were $145 million more in the 2006 period than in the comparable 2005 period. Capital spending for property and equipment was $69 million in the 2006 period, up $30 million versus the 2005 period. Net cash used in financing activities was $197 million in the 2006 period, up $60 million from the comparable 2005 period. In the first nine months of 2006, we increased our expenditures for common stock repurchases by $95 million and our dividends paid to stockholders by $21 million. Offsetting these outflows were $53 million of tax benefits realized from option exercises in the 2006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PENDING CHANGE IN ACCOUNTING FOR UNCERTAINTY IN INCOME TAXES.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January 1, 2007, we will adopt the provisions of recently issued FASB Interpretation 48 in regards to our accounting for and disclosure of uncertain tax positions. We are in the process of reviewing our accounting for income taxes in light of the provisions of FIN 48 and, though our work is not yet complete, do not expect that adoption will materially affect our consolidated financial statements. Our critical accounting policy regarding our provision for income taxes (from Item 7 of our Form 10-K Annual Report for 2005) follows for the reader’s reference.</w:t>
      </w:r>
    </w:p>
    <w:p>
      <w:pPr>
        <w:spacing w:after="0" w:line="79" w:lineRule="exact"/>
        <w:rPr>
          <w:sz w:val="20"/>
          <w:szCs w:val="20"/>
          <w:color w:val="auto"/>
        </w:rPr>
      </w:pPr>
    </w:p>
    <w:p>
      <w:pPr>
        <w:ind w:left="240"/>
        <w:spacing w:after="0" w:line="270" w:lineRule="auto"/>
        <w:rPr>
          <w:sz w:val="20"/>
          <w:szCs w:val="20"/>
          <w:color w:val="auto"/>
        </w:rPr>
      </w:pPr>
      <w:r>
        <w:rPr>
          <w:rFonts w:ascii="Arial" w:cs="Arial" w:eastAsia="Arial" w:hAnsi="Arial"/>
          <w:sz w:val="17"/>
          <w:szCs w:val="17"/>
          <w:color w:val="auto"/>
        </w:rPr>
        <w:t>After compensation and related costs, our provision for income taxes on our earnings is our largest annual expense. We operate in several states and several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for doing business each year in all of our locations. Annually, we file tax returns which represent our filing positions with each jurisdiction and settle our return liabilities. Each jurisdiction has the right to audit those returns and may take different positions with respect to income and expense allocations and taxable earnings determinations. From time-to-time, we may also provide for estimated liabilities associated with uncertain tax return filing positions that are subject to, or in the process of, being audited by various tax authorities. Because the determinations of our annual provisions are subject to judgments and estimates, it is likely that actual results will vary from those recognized in our financial statements. As a result, additions to, or reductions of, income tax expense will occur each year for prior reporting periods as our estimates change and actual tax returns and tax audits are settled. We recognize any such prior year adjustment in the discrete quarterly period in which it is determined.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From time to time, information or statements provided by or on behalf of T. Rowe Price, including those within this report, may contain certain forward-looking information, including information or anticipated information relating to changes in our revenues and net income, changes in the amount and composition of our assets under management, our expense levels,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of our Form 10-K Annual Report for 2005 under the caption Risk Factors.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8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favoring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w:t>
      </w:r>
    </w:p>
    <w:p>
      <w:pPr>
        <w:spacing w:after="0" w:line="6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stock awards, changes in our employee count and mix, and competitive factors; any impairment of goodwill or other intangible assets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2005.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management, including our principal executive and principal financial officers, has evaluated the effectiveness of our disclosure controls and procedures as of September 30, 2006. Our disclosure controls and procedures are designed to provide reasonable assurance that the information required to be disclosed by us in the reports that we file or submit under the Securities Exchange Act of 1934, including this Form 10-Q quarterly report, is appropriately recorded, processed, summarized and reported within the time periods specified by the Securities and Exchange Commission. Based on that evaluation, our principal executive and principal financial officers have concluded that our disclosure controls and procedures as of September 30, 2006 are effective at the reasonable assurance level.</w:t>
      </w:r>
    </w:p>
    <w:p>
      <w:pPr>
        <w:spacing w:after="0" w:line="8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2006, and has concluded that there was no change during the third quarter of 2006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September 2003, a purported class action (T.K. Parthasarathy, et al., including Woodbury, v. T. Rowe Price International Funds, Inc., et al.) was filed in the Circuit Court, Third Judicial Circuit, Madison County, Illinois, against T. Rowe Price International and the T. Rowe Price International Funds with respect to the T. Rowe Price International Stock Fund. The basic allegations in the case were that the T. Rowe Price defendants did not make appropriate price adjustments to the foreign securities owned by the T. Rowe Price International Stock Fund prior to calculating the Fund’s daily share prices, thereby allegedly enabling market timing traders to trade the Fund’s shares in such a way as to disadvantage long-term investors. The plaintiffs sought monetary damages. Following three years of procedural litigation in State and Federal courts, this case is now back in the Illinois State Court. The U.S. Supreme Court recently issued an important ruling in the Dabit case holding that actions such as this one are barred by a federal preemption statute and may not be maintained as class actions under state law. We expect to raise the Dabit ruling at the appropriate time and believe that doing so should result in a favorable outcome for the T. Rowe Price defendants. We do not believe that this case will have a material effect on our financial position or results of operations.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the Form 10-K Annual Report for 2005.</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  The following table summarizes activity during the third quarter of 2006 under the 2003 Board of Director’s repurchase authorization.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00" w:type="dxa"/>
            <w:vAlign w:val="bottom"/>
            <w:gridSpan w:val="3"/>
          </w:tcPr>
          <w:p>
            <w:pPr>
              <w:jc w:val="center"/>
              <w:ind w:right="580"/>
              <w:spacing w:after="0"/>
              <w:rPr>
                <w:sz w:val="20"/>
                <w:szCs w:val="20"/>
                <w:color w:val="auto"/>
              </w:rPr>
            </w:pPr>
            <w:r>
              <w:rPr>
                <w:rFonts w:ascii="Arial" w:cs="Arial" w:eastAsia="Arial" w:hAnsi="Arial"/>
                <w:sz w:val="14"/>
                <w:szCs w:val="14"/>
                <w:color w:val="auto"/>
                <w:w w:val="89"/>
              </w:rPr>
              <w:t>Total</w:t>
            </w:r>
          </w:p>
        </w:tc>
        <w:tc>
          <w:tcPr>
            <w:tcW w:w="100" w:type="dxa"/>
            <w:vAlign w:val="bottom"/>
          </w:tcPr>
          <w:p>
            <w:pPr>
              <w:spacing w:after="0"/>
              <w:rPr>
                <w:sz w:val="14"/>
                <w:szCs w:val="14"/>
                <w:color w:val="auto"/>
              </w:rPr>
            </w:pPr>
          </w:p>
        </w:tc>
        <w:tc>
          <w:tcPr>
            <w:tcW w:w="1160" w:type="dxa"/>
            <w:vAlign w:val="bottom"/>
            <w:gridSpan w:val="2"/>
          </w:tcPr>
          <w:p>
            <w:pPr>
              <w:jc w:val="center"/>
              <w:ind w:right="680"/>
              <w:spacing w:after="0"/>
              <w:rPr>
                <w:sz w:val="20"/>
                <w:szCs w:val="20"/>
                <w:color w:val="auto"/>
              </w:rPr>
            </w:pPr>
            <w:r>
              <w:rPr>
                <w:rFonts w:ascii="Arial" w:cs="Arial" w:eastAsia="Arial" w:hAnsi="Arial"/>
                <w:sz w:val="14"/>
                <w:szCs w:val="14"/>
                <w:color w:val="auto"/>
                <w:w w:val="91"/>
              </w:rPr>
              <w:t>Average</w:t>
            </w:r>
          </w:p>
        </w:tc>
        <w:tc>
          <w:tcPr>
            <w:tcW w:w="1980" w:type="dxa"/>
            <w:vAlign w:val="bottom"/>
            <w:gridSpan w:val="2"/>
          </w:tcPr>
          <w:p>
            <w:pPr>
              <w:jc w:val="center"/>
              <w:ind w:right="600"/>
              <w:spacing w:after="0"/>
              <w:rPr>
                <w:sz w:val="20"/>
                <w:szCs w:val="20"/>
                <w:color w:val="auto"/>
              </w:rPr>
            </w:pPr>
            <w:r>
              <w:rPr>
                <w:rFonts w:ascii="Arial" w:cs="Arial" w:eastAsia="Arial" w:hAnsi="Arial"/>
                <w:sz w:val="14"/>
                <w:szCs w:val="14"/>
                <w:color w:val="auto"/>
                <w:w w:val="92"/>
              </w:rPr>
              <w:t>Total Number of Shares</w:t>
            </w: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97"/>
              </w:rPr>
              <w:t>Number of</w:t>
            </w:r>
          </w:p>
        </w:tc>
        <w:tc>
          <w:tcPr>
            <w:tcW w:w="100" w:type="dxa"/>
            <w:vAlign w:val="bottom"/>
          </w:tcPr>
          <w:p>
            <w:pPr>
              <w:spacing w:after="0"/>
              <w:rPr>
                <w:sz w:val="12"/>
                <w:szCs w:val="12"/>
                <w:color w:val="auto"/>
              </w:rPr>
            </w:pPr>
          </w:p>
        </w:tc>
        <w:tc>
          <w:tcPr>
            <w:tcW w:w="116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3"/>
              </w:rPr>
              <w:t>Price</w:t>
            </w:r>
          </w:p>
        </w:tc>
        <w:tc>
          <w:tcPr>
            <w:tcW w:w="198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0"/>
              </w:rPr>
              <w:t>Purchased as Part of</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0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85"/>
              </w:rPr>
              <w:t>Shares</w:t>
            </w:r>
          </w:p>
        </w:tc>
        <w:tc>
          <w:tcPr>
            <w:tcW w:w="100" w:type="dxa"/>
            <w:vAlign w:val="bottom"/>
          </w:tcPr>
          <w:p>
            <w:pPr>
              <w:spacing w:after="0"/>
              <w:rPr>
                <w:sz w:val="12"/>
                <w:szCs w:val="12"/>
                <w:color w:val="auto"/>
              </w:rPr>
            </w:pPr>
          </w:p>
        </w:tc>
        <w:tc>
          <w:tcPr>
            <w:tcW w:w="116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1"/>
              </w:rPr>
              <w:t>Paid per</w:t>
            </w:r>
          </w:p>
        </w:tc>
        <w:tc>
          <w:tcPr>
            <w:tcW w:w="198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5"/>
              </w:rPr>
              <w:t>Publicly Announced</w:t>
            </w:r>
          </w:p>
        </w:tc>
        <w:tc>
          <w:tcPr>
            <w:tcW w:w="12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Yet Be Purchased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120" w:type="dxa"/>
            <w:vAlign w:val="bottom"/>
          </w:tcPr>
          <w:p>
            <w:pPr>
              <w:ind w:left="2360"/>
              <w:spacing w:after="0"/>
              <w:rPr>
                <w:sz w:val="20"/>
                <w:szCs w:val="20"/>
                <w:color w:val="auto"/>
              </w:rPr>
            </w:pPr>
            <w:r>
              <w:rPr>
                <w:rFonts w:ascii="Arial" w:cs="Arial" w:eastAsia="Arial" w:hAnsi="Arial"/>
                <w:sz w:val="14"/>
                <w:szCs w:val="14"/>
                <w:color w:val="auto"/>
              </w:rPr>
              <w:t>Period</w:t>
            </w:r>
          </w:p>
        </w:tc>
        <w:tc>
          <w:tcPr>
            <w:tcW w:w="4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Purchased</w:t>
            </w:r>
          </w:p>
        </w:tc>
        <w:tc>
          <w:tcPr>
            <w:tcW w:w="6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center"/>
              <w:ind w:right="19"/>
              <w:spacing w:after="0"/>
              <w:rPr>
                <w:sz w:val="20"/>
                <w:szCs w:val="20"/>
                <w:color w:val="auto"/>
              </w:rPr>
            </w:pPr>
            <w:r>
              <w:rPr>
                <w:rFonts w:ascii="Arial" w:cs="Arial" w:eastAsia="Arial" w:hAnsi="Arial"/>
                <w:sz w:val="14"/>
                <w:szCs w:val="14"/>
                <w:color w:val="auto"/>
                <w:w w:val="90"/>
              </w:rPr>
              <w:t>Share</w:t>
            </w:r>
          </w:p>
        </w:tc>
        <w:tc>
          <w:tcPr>
            <w:tcW w:w="6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color w:val="auto"/>
                <w:w w:val="88"/>
              </w:rPr>
              <w:t>Programs</w:t>
            </w:r>
          </w:p>
        </w:tc>
        <w:tc>
          <w:tcPr>
            <w:tcW w:w="6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Under the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July 2006</w:t>
            </w: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37.42</w:t>
            </w: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500,000</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August 2006</w:t>
            </w:r>
          </w:p>
        </w:tc>
        <w:tc>
          <w:tcPr>
            <w:tcW w:w="480" w:type="dxa"/>
            <w:vAlign w:val="bottom"/>
          </w:tcPr>
          <w:p>
            <w:pPr>
              <w:spacing w:after="0"/>
              <w:rPr>
                <w:sz w:val="18"/>
                <w:szCs w:val="18"/>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3,790,868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September 2006</w:t>
            </w:r>
          </w:p>
        </w:tc>
        <w:tc>
          <w:tcPr>
            <w:tcW w:w="4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3,790,868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w:t>
            </w:r>
          </w:p>
        </w:tc>
        <w:tc>
          <w:tcPr>
            <w:tcW w:w="6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On October 25, 2006, we issued a press release reporting our results of operations for the third quarter and first nine months of 2006. A copy of this press release is furnished herewith as Exhibit 99. The information in this Item 5 and in Exhibit 99 shall not be deemed “filed” for purposes of Section 18 of the Securities Exchange Act of 1934, nor shall it be deemed incorporated by reference in any filing under the Securities Act of 1933.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3(i)</w:t>
            </w:r>
          </w:p>
        </w:tc>
        <w:tc>
          <w:tcPr>
            <w:tcW w:w="9880" w:type="dxa"/>
            <w:vAlign w:val="bottom"/>
          </w:tcPr>
          <w:p>
            <w:pPr>
              <w:ind w:left="400"/>
              <w:spacing w:after="0"/>
              <w:rPr>
                <w:sz w:val="20"/>
                <w:szCs w:val="20"/>
                <w:color w:val="auto"/>
              </w:rPr>
            </w:pPr>
            <w:r>
              <w:rPr>
                <w:rFonts w:ascii="Arial" w:cs="Arial" w:eastAsia="Arial" w:hAnsi="Arial"/>
                <w:sz w:val="18"/>
                <w:szCs w:val="18"/>
                <w:color w:val="auto"/>
                <w:w w:val="91"/>
              </w:rPr>
              <w:t>Amended and Restated Charter of T. Rowe Price Group, Inc. as of March 9, 2001. (Incorporated by reference from Form 10-K for</w:t>
            </w:r>
          </w:p>
        </w:tc>
      </w:tr>
      <w:tr>
        <w:trPr>
          <w:trHeight w:val="230"/>
        </w:trPr>
        <w:tc>
          <w:tcPr>
            <w:tcW w:w="900" w:type="dxa"/>
            <w:vAlign w:val="bottom"/>
          </w:tcPr>
          <w:p>
            <w:pPr>
              <w:spacing w:after="0"/>
              <w:rPr>
                <w:sz w:val="20"/>
                <w:szCs w:val="20"/>
                <w:color w:val="auto"/>
              </w:rPr>
            </w:pPr>
          </w:p>
        </w:tc>
        <w:tc>
          <w:tcPr>
            <w:tcW w:w="9880" w:type="dxa"/>
            <w:vAlign w:val="bottom"/>
          </w:tcPr>
          <w:p>
            <w:pPr>
              <w:ind w:left="400"/>
              <w:spacing w:after="0"/>
              <w:rPr>
                <w:sz w:val="20"/>
                <w:szCs w:val="20"/>
                <w:color w:val="auto"/>
              </w:rPr>
            </w:pPr>
            <w:r>
              <w:rPr>
                <w:rFonts w:ascii="Arial" w:cs="Arial" w:eastAsia="Arial" w:hAnsi="Arial"/>
                <w:sz w:val="18"/>
                <w:szCs w:val="18"/>
                <w:color w:val="auto"/>
              </w:rPr>
              <w:t>2000; Accession No. 0001113169-01-000003.)</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3(ii)</w:t>
            </w:r>
          </w:p>
        </w:tc>
        <w:tc>
          <w:tcPr>
            <w:tcW w:w="9880" w:type="dxa"/>
            <w:vAlign w:val="bottom"/>
          </w:tcPr>
          <w:p>
            <w:pPr>
              <w:ind w:left="400"/>
              <w:spacing w:after="0"/>
              <w:rPr>
                <w:sz w:val="20"/>
                <w:szCs w:val="20"/>
                <w:color w:val="auto"/>
              </w:rPr>
            </w:pPr>
            <w:r>
              <w:rPr>
                <w:rFonts w:ascii="Arial" w:cs="Arial" w:eastAsia="Arial" w:hAnsi="Arial"/>
                <w:sz w:val="18"/>
                <w:szCs w:val="18"/>
                <w:color w:val="auto"/>
                <w:w w:val="90"/>
              </w:rPr>
              <w:t>Amended and Restated By-Laws of T. Rowe Price Group, Inc. as of December 12, 2002. (Incorporated by reference from Form 10-</w:t>
            </w:r>
          </w:p>
        </w:tc>
      </w:tr>
      <w:tr>
        <w:trPr>
          <w:trHeight w:val="230"/>
        </w:trPr>
        <w:tc>
          <w:tcPr>
            <w:tcW w:w="900" w:type="dxa"/>
            <w:vAlign w:val="bottom"/>
          </w:tcPr>
          <w:p>
            <w:pPr>
              <w:spacing w:after="0"/>
              <w:rPr>
                <w:sz w:val="20"/>
                <w:szCs w:val="20"/>
                <w:color w:val="auto"/>
              </w:rPr>
            </w:pPr>
          </w:p>
        </w:tc>
        <w:tc>
          <w:tcPr>
            <w:tcW w:w="9880" w:type="dxa"/>
            <w:vAlign w:val="bottom"/>
          </w:tcPr>
          <w:p>
            <w:pPr>
              <w:ind w:left="400"/>
              <w:spacing w:after="0"/>
              <w:rPr>
                <w:sz w:val="20"/>
                <w:szCs w:val="20"/>
                <w:color w:val="auto"/>
              </w:rPr>
            </w:pPr>
            <w:r>
              <w:rPr>
                <w:rFonts w:ascii="Arial" w:cs="Arial" w:eastAsia="Arial" w:hAnsi="Arial"/>
                <w:sz w:val="18"/>
                <w:szCs w:val="18"/>
                <w:color w:val="auto"/>
              </w:rPr>
              <w:t>K for 2002; Accession No. 0000950133-03-000699.)</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15</w:t>
            </w:r>
          </w:p>
        </w:tc>
        <w:tc>
          <w:tcPr>
            <w:tcW w:w="9880" w:type="dxa"/>
            <w:vAlign w:val="bottom"/>
          </w:tcPr>
          <w:p>
            <w:pPr>
              <w:ind w:left="400"/>
              <w:spacing w:after="0"/>
              <w:rPr>
                <w:sz w:val="20"/>
                <w:szCs w:val="20"/>
                <w:color w:val="auto"/>
              </w:rPr>
            </w:pPr>
            <w:r>
              <w:rPr>
                <w:rFonts w:ascii="Arial" w:cs="Arial" w:eastAsia="Arial" w:hAnsi="Arial"/>
                <w:sz w:val="18"/>
                <w:szCs w:val="18"/>
                <w:color w:val="auto"/>
              </w:rPr>
              <w:t>Letter from KPMG LLP, independent registered public accounting firm, re unaudited interim financial information.</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31(i).1</w:t>
            </w:r>
          </w:p>
        </w:tc>
        <w:tc>
          <w:tcPr>
            <w:tcW w:w="9880" w:type="dxa"/>
            <w:vAlign w:val="bottom"/>
          </w:tcPr>
          <w:p>
            <w:pPr>
              <w:ind w:left="400"/>
              <w:spacing w:after="0"/>
              <w:rPr>
                <w:sz w:val="20"/>
                <w:szCs w:val="20"/>
                <w:color w:val="auto"/>
              </w:rPr>
            </w:pPr>
            <w:r>
              <w:rPr>
                <w:rFonts w:ascii="Arial" w:cs="Arial" w:eastAsia="Arial" w:hAnsi="Arial"/>
                <w:sz w:val="18"/>
                <w:szCs w:val="18"/>
                <w:color w:val="auto"/>
              </w:rPr>
              <w:t>Rule 13a-14(a) Certification of Principal Executive Officer.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31(i).2</w:t>
            </w:r>
          </w:p>
        </w:tc>
        <w:tc>
          <w:tcPr>
            <w:tcW w:w="9880" w:type="dxa"/>
            <w:vAlign w:val="bottom"/>
          </w:tcPr>
          <w:p>
            <w:pPr>
              <w:ind w:left="400"/>
              <w:spacing w:after="0"/>
              <w:rPr>
                <w:sz w:val="20"/>
                <w:szCs w:val="20"/>
                <w:color w:val="auto"/>
              </w:rPr>
            </w:pPr>
            <w:r>
              <w:rPr>
                <w:rFonts w:ascii="Arial" w:cs="Arial" w:eastAsia="Arial" w:hAnsi="Arial"/>
                <w:sz w:val="18"/>
                <w:szCs w:val="18"/>
                <w:color w:val="auto"/>
              </w:rPr>
              <w:t>Rule 13a-14(a) Certification of Principal Financial Officer.</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9880" w:type="dxa"/>
            <w:vAlign w:val="bottom"/>
          </w:tcPr>
          <w:p>
            <w:pPr>
              <w:ind w:left="400"/>
              <w:spacing w:after="0"/>
              <w:rPr>
                <w:sz w:val="20"/>
                <w:szCs w:val="20"/>
                <w:color w:val="auto"/>
              </w:rPr>
            </w:pPr>
            <w:r>
              <w:rPr>
                <w:rFonts w:ascii="Arial" w:cs="Arial" w:eastAsia="Arial" w:hAnsi="Arial"/>
                <w:sz w:val="18"/>
                <w:szCs w:val="18"/>
                <w:color w:val="auto"/>
              </w:rPr>
              <w:t>Section 1350 Certifications.</w:t>
            </w:r>
          </w:p>
        </w:tc>
      </w:tr>
      <w:tr>
        <w:trPr>
          <w:trHeight w:val="432"/>
        </w:trPr>
        <w:tc>
          <w:tcPr>
            <w:tcW w:w="900" w:type="dxa"/>
            <w:vAlign w:val="bottom"/>
          </w:tcPr>
          <w:p>
            <w:pPr>
              <w:spacing w:after="0"/>
              <w:rPr>
                <w:sz w:val="20"/>
                <w:szCs w:val="20"/>
                <w:color w:val="auto"/>
              </w:rPr>
            </w:pPr>
            <w:r>
              <w:rPr>
                <w:rFonts w:ascii="Arial" w:cs="Arial" w:eastAsia="Arial" w:hAnsi="Arial"/>
                <w:sz w:val="18"/>
                <w:szCs w:val="18"/>
                <w:color w:val="auto"/>
              </w:rPr>
              <w:t>99</w:t>
            </w:r>
          </w:p>
        </w:tc>
        <w:tc>
          <w:tcPr>
            <w:tcW w:w="9880" w:type="dxa"/>
            <w:vAlign w:val="bottom"/>
          </w:tcPr>
          <w:p>
            <w:pPr>
              <w:ind w:left="400"/>
              <w:spacing w:after="0"/>
              <w:rPr>
                <w:sz w:val="20"/>
                <w:szCs w:val="20"/>
                <w:color w:val="auto"/>
              </w:rPr>
            </w:pPr>
            <w:r>
              <w:rPr>
                <w:rFonts w:ascii="Arial" w:cs="Arial" w:eastAsia="Arial" w:hAnsi="Arial"/>
                <w:sz w:val="18"/>
                <w:szCs w:val="18"/>
                <w:color w:val="auto"/>
                <w:w w:val="93"/>
              </w:rPr>
              <w:t>Press release issued October 25, 2006 reporting our results of operations for the third quarter and the first nine months of 2006.</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25,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Kenneth V. Moreland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931" w:right="239" w:bottom="1440" w:gutter="0" w:footer="0" w:header="0"/>
        </w:sectPr>
      </w:pPr>
    </w:p>
    <w:bookmarkStart w:id="14" w:name="page15"/>
    <w:bookmarkEnd w:id="14"/>
    <w:p>
      <w:pPr>
        <w:spacing w:after="0"/>
        <w:tabs>
          <w:tab w:leader="none" w:pos="1160" w:val="left"/>
        </w:tabs>
        <w:rPr>
          <w:sz w:val="20"/>
          <w:szCs w:val="20"/>
          <w:color w:val="auto"/>
        </w:rPr>
      </w:pPr>
      <w:r>
        <w:rPr>
          <w:rFonts w:ascii="Arial" w:cs="Arial" w:eastAsia="Arial" w:hAnsi="Arial"/>
          <w:sz w:val="18"/>
          <w:szCs w:val="18"/>
          <w:b w:val="1"/>
          <w:bCs w:val="1"/>
          <w:color w:val="auto"/>
        </w:rPr>
        <w:t>Exhibit 15</w:t>
      </w:r>
      <w:r>
        <w:rPr>
          <w:sz w:val="20"/>
          <w:szCs w:val="20"/>
          <w:color w:val="auto"/>
        </w:rPr>
        <w:tab/>
      </w:r>
      <w:r>
        <w:rPr>
          <w:rFonts w:ascii="Arial" w:cs="Arial" w:eastAsia="Arial" w:hAnsi="Arial"/>
          <w:sz w:val="16"/>
          <w:szCs w:val="16"/>
          <w:b w:val="1"/>
          <w:bCs w:val="1"/>
          <w:color w:val="auto"/>
        </w:rPr>
        <w:t>Letter from KPMG LLP, independent registered public accounting firm, re unaudited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 Registration Statements on Form S-8: No. 33-7012, No. 33-72568, No. 33-58749, No. 333-20333, No. 333-90967, No. 333-59714, No. 333-120882 and No. 333-120883</w:t>
      </w:r>
    </w:p>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24, 2006 related to our review of interim financial information.</w:t>
      </w:r>
    </w:p>
    <w:p>
      <w:pPr>
        <w:spacing w:after="0" w:line="6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24, 2006</w:t>
      </w:r>
    </w:p>
    <w:p>
      <w:pPr>
        <w:sectPr>
          <w:pgSz w:w="11900" w:h="16838" w:orient="portrait"/>
          <w:cols w:equalWidth="0" w:num="1">
            <w:col w:w="11280"/>
          </w:cols>
          <w:pgMar w:left="240" w:top="931" w:right="379" w:bottom="1440" w:gutter="0" w:footer="0" w:header="0"/>
        </w:sectPr>
      </w:pPr>
    </w:p>
    <w:bookmarkStart w:id="15" w:name="page16"/>
    <w:bookmarkEnd w:id="15"/>
    <w:p>
      <w:pPr>
        <w:spacing w:after="0"/>
        <w:tabs>
          <w:tab w:leader="none" w:pos="6920" w:val="left"/>
        </w:tabs>
        <w:rPr>
          <w:sz w:val="20"/>
          <w:szCs w:val="20"/>
          <w:color w:val="auto"/>
        </w:rPr>
      </w:pPr>
      <w:r>
        <w:rPr>
          <w:rFonts w:ascii="Arial" w:cs="Arial" w:eastAsia="Arial" w:hAnsi="Arial"/>
          <w:sz w:val="18"/>
          <w:szCs w:val="18"/>
          <w:b w:val="1"/>
          <w:bCs w:val="1"/>
          <w:color w:val="auto"/>
        </w:rPr>
        <w:t>Exhibit 31(i).1</w:t>
      </w:r>
      <w:r>
        <w:rPr>
          <w:sz w:val="20"/>
          <w:szCs w:val="20"/>
          <w:color w:val="auto"/>
        </w:rPr>
        <w:tab/>
      </w:r>
      <w:r>
        <w:rPr>
          <w:rFonts w:ascii="Arial" w:cs="Arial" w:eastAsia="Arial" w:hAnsi="Arial"/>
          <w:sz w:val="16"/>
          <w:szCs w:val="16"/>
          <w:b w:val="1"/>
          <w:bCs w:val="1"/>
          <w:color w:val="auto"/>
        </w:rPr>
        <w:t>Rule 13a-14(a) Certification of Principal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George A. Roche, certify that:</w:t>
      </w:r>
    </w:p>
    <w:p>
      <w:pPr>
        <w:spacing w:after="0" w:line="117"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2006 of T. Rowe Price Group,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308" w:lineRule="auto"/>
        <w:tabs>
          <w:tab w:leader="none" w:pos="720" w:val="left"/>
        </w:tabs>
        <w:numPr>
          <w:ilvl w:val="1"/>
          <w:numId w:val="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240" w:right="400" w:firstLine="221"/>
        <w:spacing w:after="0" w:line="277" w:lineRule="auto"/>
        <w:tabs>
          <w:tab w:leader="none" w:pos="710"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24,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George A. Roche</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931" w:right="239" w:bottom="1440" w:gutter="0" w:footer="0" w:header="0"/>
        </w:sectPr>
      </w:pPr>
    </w:p>
    <w:bookmarkStart w:id="16" w:name="page17"/>
    <w:bookmarkEnd w:id="16"/>
    <w:p>
      <w:pPr>
        <w:spacing w:after="0"/>
        <w:tabs>
          <w:tab w:leader="none" w:pos="6940" w:val="left"/>
        </w:tabs>
        <w:rPr>
          <w:sz w:val="20"/>
          <w:szCs w:val="20"/>
          <w:color w:val="auto"/>
        </w:rPr>
      </w:pPr>
      <w:r>
        <w:rPr>
          <w:rFonts w:ascii="Arial" w:cs="Arial" w:eastAsia="Arial" w:hAnsi="Arial"/>
          <w:sz w:val="18"/>
          <w:szCs w:val="18"/>
          <w:b w:val="1"/>
          <w:bCs w:val="1"/>
          <w:color w:val="auto"/>
        </w:rPr>
        <w:t>Exhibit 31(i).2</w:t>
      </w:r>
      <w:r>
        <w:rPr>
          <w:sz w:val="20"/>
          <w:szCs w:val="20"/>
          <w:color w:val="auto"/>
        </w:rPr>
        <w:tab/>
      </w:r>
      <w:r>
        <w:rPr>
          <w:rFonts w:ascii="Arial" w:cs="Arial" w:eastAsia="Arial" w:hAnsi="Arial"/>
          <w:sz w:val="16"/>
          <w:szCs w:val="16"/>
          <w:b w:val="1"/>
          <w:bCs w:val="1"/>
          <w:color w:val="auto"/>
        </w:rPr>
        <w:t>Rule 13a-14(a) Certification of Principal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2006 of T. Rowe Price Group, Inc.;</w:t>
      </w:r>
    </w:p>
    <w:p>
      <w:pPr>
        <w:spacing w:after="0" w:line="117" w:lineRule="exact"/>
        <w:rPr>
          <w:rFonts w:ascii="Arial" w:cs="Arial" w:eastAsia="Arial" w:hAnsi="Arial"/>
          <w:sz w:val="18"/>
          <w:szCs w:val="18"/>
          <w:color w:val="auto"/>
        </w:rPr>
      </w:pPr>
    </w:p>
    <w:p>
      <w:pPr>
        <w:ind w:left="260" w:right="200" w:hanging="252"/>
        <w:spacing w:after="0" w:line="342" w:lineRule="auto"/>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260" w:right="660" w:hanging="252"/>
        <w:spacing w:after="0" w:line="308" w:lineRule="auto"/>
        <w:tabs>
          <w:tab w:leader="none" w:pos="260" w:val="left"/>
        </w:tabs>
        <w:numPr>
          <w:ilvl w:val="0"/>
          <w:numId w:val="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260" w:right="140" w:hanging="252"/>
        <w:spacing w:after="0" w:line="264"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240" w:right="440" w:firstLine="221"/>
        <w:spacing w:after="0" w:line="264" w:lineRule="auto"/>
        <w:tabs>
          <w:tab w:leader="none" w:pos="71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660" w:firstLine="221"/>
        <w:spacing w:after="0" w:line="264" w:lineRule="auto"/>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20" w:firstLine="221"/>
        <w:spacing w:after="0" w:line="277" w:lineRule="auto"/>
        <w:tabs>
          <w:tab w:leader="none" w:pos="710" w:val="left"/>
        </w:tabs>
        <w:numPr>
          <w:ilvl w:val="1"/>
          <w:numId w:val="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240" w:right="60" w:firstLine="221"/>
        <w:spacing w:after="0" w:line="308" w:lineRule="auto"/>
        <w:tabs>
          <w:tab w:leader="none" w:pos="720" w:val="left"/>
        </w:tabs>
        <w:numPr>
          <w:ilvl w:val="1"/>
          <w:numId w:val="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260" w:right="580" w:hanging="252"/>
        <w:spacing w:after="0" w:line="277" w:lineRule="auto"/>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240" w:right="400" w:firstLine="221"/>
        <w:spacing w:after="0" w:line="277" w:lineRule="auto"/>
        <w:tabs>
          <w:tab w:leader="none" w:pos="710"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60" w:firstLine="221"/>
        <w:spacing w:after="0" w:line="277" w:lineRule="auto"/>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24,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931" w:right="239" w:bottom="1440" w:gutter="0" w:footer="0" w:header="0"/>
        </w:sectPr>
      </w:pPr>
    </w:p>
    <w:bookmarkStart w:id="17" w:name="page18"/>
    <w:bookmarkEnd w:id="17"/>
    <w:p>
      <w:pPr>
        <w:spacing w:after="0"/>
        <w:tabs>
          <w:tab w:leader="none" w:pos="934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certify, to the best of our knowledge, based upon a review of the Form 10-Q Quarterly Report for the quarterly period ended September 30, 2006 of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Rowe Price Group, Inc., that:</w:t>
      </w:r>
    </w:p>
    <w:p>
      <w:pPr>
        <w:spacing w:after="0" w:line="103"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80" w:firstLine="8"/>
        <w:spacing w:after="0" w:line="277" w:lineRule="auto"/>
        <w:tabs>
          <w:tab w:leader="none" w:pos="252"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24, 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George A. Roche,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Principal Financial Officer</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931" w:right="239" w:bottom="1440" w:gutter="0" w:footer="0" w:header="0"/>
        </w:sectPr>
      </w:pPr>
    </w:p>
    <w:bookmarkStart w:id="18" w:name="page19"/>
    <w:bookmarkEnd w:id="18"/>
    <w:p>
      <w:pPr>
        <w:ind w:left="10620"/>
        <w:spacing w:after="0"/>
        <w:rPr>
          <w:sz w:val="20"/>
          <w:szCs w:val="20"/>
          <w:color w:val="auto"/>
        </w:rPr>
      </w:pPr>
      <w:r>
        <w:rPr>
          <w:rFonts w:ascii="Arial" w:cs="Arial" w:eastAsia="Arial" w:hAnsi="Arial"/>
          <w:sz w:val="16"/>
          <w:szCs w:val="16"/>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238125</wp:posOffset>
            </wp:positionV>
            <wp:extent cx="6174740" cy="900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474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 ROWE PRICE GROUP REPORTS THIRD QUARTER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Record Assets Under Management Pass $308 Billion;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Net Revenues Reach New High</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BALTIMORE (October 25, 2006) – T. Rowe Price Group, Inc. (NASDAQ: TROW) today reported record quarterly net revenues of nearly $451 million in the third quarter of 2006, up 16% from the 2005 quarter. Net income for the quarter was $128 million, and diluted earnings per share was $.46, an increase of 7% from the $.43 per share reported for the third quarter of 2005. Comparable net revenues in the third quarter of 2005 were $389 million and net income was $116 million.</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first nine months of 2006, results include net revenues of $1.3 billion, net income of nearly $381 million and diluted earnings per share of $1.37, an increase of 19% from the $1.15 per share reported for the comparable 2005 period.</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On January 1, 2006, the firm adopted Statement of Financial Accounting Standards No. 123R, </w:t>
      </w:r>
      <w:r>
        <w:rPr>
          <w:rFonts w:ascii="Arial" w:cs="Arial" w:eastAsia="Arial" w:hAnsi="Arial"/>
          <w:sz w:val="17"/>
          <w:szCs w:val="17"/>
          <w:i w:val="1"/>
          <w:iCs w:val="1"/>
          <w:color w:val="auto"/>
        </w:rPr>
        <w:t>Share-Based Payment</w:t>
      </w:r>
      <w:r>
        <w:rPr>
          <w:rFonts w:ascii="Arial" w:cs="Arial" w:eastAsia="Arial" w:hAnsi="Arial"/>
          <w:sz w:val="17"/>
          <w:szCs w:val="17"/>
          <w:color w:val="auto"/>
        </w:rPr>
        <w:t>, and, for the third quarter and year-to-date 2006 periods, recognized $15.6 million and $45.1 million, respectively, of non-cash stock-based compensation expense using the fair value based method. Had T. Rowe Price applied the fair value method to recognize stock option-based compensation in 2005, compensation expense would have increased $13.4 million in the third quarter and $40.5 million in the first nine months. The comparable pro forma diluted earnings per share would have decreased from the reported $.43 to $.39 for the third quarter, and from the reported $1.15 to $1.05 for the year-to-date period. On a basis comparable with 2006 results, diluted earnings per share would then have increased 18% and 30% from the 2005 third quarter and year-to-date periods, respectively. The fair value provisions of the new accounting standard have been applied on the modified prospective basis; accordingly, the company’s financial statements for all periods prior to 2006 have not been restated.</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The company split its common shares two-for-one in June 2006, and all data in this release has been adjusted to reflect this split.</w:t>
      </w:r>
    </w:p>
    <w:p>
      <w:pPr>
        <w:spacing w:after="0" w:line="11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Investment advisory revenues were up 17% to $375 million from the 2005 quarter. Assets under management increased to a record $308.1 billion at September 30, 2006, up $38.6 billion from the end of 2005, and an increase of $14.4 billion since June 30, 2006. Net cash inflows from investors were more than $4.2 billion in the third quarter and $21.5 billion thus far in 2006. Higher market valuations and income during the third quarter resulted in a</w:t>
      </w:r>
    </w:p>
    <w:p>
      <w:pPr>
        <w:jc w:val="both"/>
        <w:ind w:right="100"/>
        <w:spacing w:after="0" w:line="255" w:lineRule="auto"/>
        <w:rPr>
          <w:sz w:val="20"/>
          <w:szCs w:val="20"/>
          <w:color w:val="auto"/>
        </w:rPr>
      </w:pPr>
      <w:r>
        <w:rPr>
          <w:rFonts w:ascii="Arial" w:cs="Arial" w:eastAsia="Arial" w:hAnsi="Arial"/>
          <w:sz w:val="18"/>
          <w:szCs w:val="18"/>
          <w:color w:val="auto"/>
        </w:rPr>
        <w:t>$10.2 billion increase in our assets under management and, for the year-to-date period, market gains and income have added $17.1 billion to our assets under management. Quarterly average assets under management were a record $297.9 billion in the 2006 period, almost $44 billion higher than the average of the 2005 quarter.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 the third quarter of 2006, investment advisory revenues earned from the T. Rowe Price mutual funds distributed in the United States increased $36 million to $271 million. Average mutual fund assets were $184.4 billion, 14% higher than the $161.6 billion average during the 2005 period. Mutual fund assets ended the third quarter at $190.8 billion, up $7.6 billion from June 30, 2006, as higher market valuations and income added $6.0 billion and net inflows were $1.6 billion, including $1 billion to the stock and balanced funds and $.6 billion to the bond and money market funds. The Growth Stock Fund accounted for $.9 billion of the net inflows.</w:t>
      </w:r>
    </w:p>
    <w:p>
      <w:pPr>
        <w:spacing w:after="0" w:line="8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series of target date Retirement Funds, which provide fund shareholders with single, diversified portfolios that invest in underlying T. Rowe Price funds that automatically adjust fund asset allocations as investors age, continue to be the source of a significant part of mutual fund asset growth. Nearly $1.3 billion of net inflows originated in the Retirement Funds during the third quarter of 2006. Total assets in these funds reached $13.5 billion at September 30, 2006, a net increase of $1.9 billion since June 30, 2006, and a $7.1 billion increase over the last twelve months.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ind w:right="140"/>
        <w:spacing w:after="0" w:line="279" w:lineRule="auto"/>
        <w:rPr>
          <w:sz w:val="20"/>
          <w:szCs w:val="20"/>
          <w:color w:val="auto"/>
        </w:rPr>
      </w:pPr>
      <w:r>
        <w:rPr>
          <w:rFonts w:ascii="Arial" w:cs="Arial" w:eastAsia="Arial" w:hAnsi="Arial"/>
          <w:sz w:val="17"/>
          <w:szCs w:val="17"/>
          <w:color w:val="auto"/>
        </w:rPr>
        <w:t>Investment advisory revenues earned from other managed investment portfolios, consisting of institutional separate accounts, sub-advised funds, sponsored mutual funds that are offered to investors outside the U.S., and variable insurance portfolios, increased $19 million to more than $104 million. Ending assets in these portfolios were $117.3 billion at September 30, 2006. Assets in these portfolios increased $6.8 billion during the third quarter of 2006 from net inflows of $2.6 billion from investors in the U.S. and other countries and higher market valuations of more than $4.2 billion.</w:t>
      </w:r>
    </w:p>
    <w:p>
      <w:pPr>
        <w:spacing w:after="0" w:line="6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Operating expenses for the third quarter were up $41 million, or 20%, to $250 million. The company’s largest operating expense, compensation and related costs, increased $36.7 million or 28% from last year’s quarter. The number of associates, their total compensation, and the costs of their employee benefits have all increased. The largest portion of the increase is attributable to the $15.6 million non-cash expense recognized for stock-based compensation. At September 30, 2006, T. Rowe Price employed 4,495 associates.</w:t>
      </w:r>
    </w:p>
    <w:p>
      <w:pPr>
        <w:spacing w:after="0" w:line="7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Advertising and promotion expenditures increased 13% or $2.1 million versus the 2005 quarter. The company expects that its advertising and promotion expenditures in the fourth quarter of 2006 will be up about 10% versus the $28.4 million expended in the fourth quarter of 2005. The company varies its level of spending based on market conditions and investor demand as well as its efforts to expand its investor base in the United States and abroad.</w:t>
      </w:r>
    </w:p>
    <w:p>
      <w:pPr>
        <w:spacing w:after="0" w:line="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operating income increased 11.5% to more than $200 million from $180 million in the 2005 quarter. Net non-operating income, which includes interest income as well as the recognition of investment gains and losses and credit facility expenses, increased $12.6 million from the 2005 quarter, including a gain of $6.4 million that was realized upon the realignment of a portion of the company’s mutual fund holdings. Additionally, larger money market mutual fund balances yielding higher rates of return accounted for $5.2 million of the increase.</w:t>
      </w:r>
    </w:p>
    <w:p>
      <w:pPr>
        <w:spacing w:after="0" w:line="7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third quarter 2006 income tax provision includes $2.4 million to increase the estimated effective tax rate on pre-tax income for the year 2006 from 37.3% to 37.8%, and $5.3 million for additional prior years’ taxes. Together, these adjustments reduced reported diluted earnings per share for the third quarter by $.03 per share. The estimated effective tax rate for the full year 2006 will be about 38.4%, including the additional prior years’ tax accruals.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 Commentary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George A. Roche, the company’s chairman and president, commented: “The firm’s investment advisory results relative to our peers remain exemplary, with 83% of the T. Rowe Price funds across their share classes surpassing their comparable Lipper averages on a total return basis for the five-year period ended September 30, 2006, and at least 73% outperforming the average for the one-, three-, and 10-year periods. In addition, 65 of the T. Rowe Price stock and bond funds and their share classes, which account for nearly 76% of stock and bond fund assets under management, ended the third quarter with an overall rating of four or five stars from Morningstar. These four and five-star rated investments represent 60% of our rated funds and share classes, compared with 32.5% for the overall industry.</w:t>
      </w:r>
    </w:p>
    <w:p>
      <w:pPr>
        <w:spacing w:after="0" w:line="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continue to be encouraged by the healthy pace of net cash inflows across our multiple distribution channels into our separate and sub-advised accounts and mutual funds. The broad diversification of our assets under management, along with strong investment management results and brand awareness, underpins the company’s solid performance. Our global expansion continues and investment advisory clients outside the United States now account for more than 6% of our assets under management. In addition, our corporate earnings and cash flows remain very strong and give us the financial flexibility to invest further in our business and take advantage of industry or market opportunities. In early July, we expended nearly $19 million to repurchase 500,000 shares of our common stock. This brings our share repurchase activity for 2006 to $171 million, which is $75 million more than we expended in any prior year. We are debt free and have net liquid assets of $1.2 billion.</w:t>
      </w:r>
    </w:p>
    <w:p>
      <w:pPr>
        <w:spacing w:after="0" w:line="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strong third quarter performance was achieved during a period in which the markets and investor sentiment were buoyed by declining commodity prices and long-term interest rates, solid corporate earnings, and the Federal Reserve’s decision to forego another fed funds rate hike. Although growth in the U.S. economy has slowed and we expect the pace of earnings growth to decelerate over the next year, valuations appear to be reasonable, corporate profits remain strong, and we remain generally optimistic about the environment for stocks.”</w:t>
      </w:r>
    </w:p>
    <w:p>
      <w:pPr>
        <w:spacing w:after="0" w:line="7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In closing, Mr. Roche said: “The outlook for our company remains very strong as we continue to perform well for our clients and take steps to strengthen our competitive position across distribution channels and across the globe. Our combination of investment management excellence, world-class service and guidance focused on our clients’ interests, and a diversified business model has positioned us for growth in the months and years ahead.”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financial results presented in this release are unaudited. The company expects that it will file its Form 10-Q Report for the third quarter of 2006 later today. The Form 10-Q will include more complete information on the company’s financial results.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Certain statements in this press release may represent “forward-looking information,” including information relating to anticipated growth in revenues, net income and earnings per share, anticipated changes in the amount and composition of assets under management, anticipated expense levels, and expectations regarding financial and other market conditions. For a discussion concerning risks and other factors that could affect future results, see “Forward-Looking Information” in Item 2 of the company’s Form 10-Q Report.</w:t>
      </w:r>
    </w:p>
    <w:p>
      <w:pPr>
        <w:spacing w:after="0" w:line="7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 xml:space="preserve">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t>
      </w:r>
      <w:r>
        <w:rPr>
          <w:rFonts w:ascii="Arial" w:cs="Arial" w:eastAsia="Arial" w:hAnsi="Arial"/>
          <w:sz w:val="17"/>
          <w:szCs w:val="17"/>
          <w:u w:val="single" w:color="auto"/>
          <w:color w:val="auto"/>
        </w:rPr>
        <w:t>www.troweprice.com</w:t>
      </w:r>
      <w:r>
        <w:rPr>
          <w:rFonts w:ascii="Arial" w:cs="Arial" w:eastAsia="Arial" w:hAnsi="Arial"/>
          <w:sz w:val="17"/>
          <w:szCs w:val="17"/>
          <w:color w:val="auto"/>
        </w:rPr>
        <w: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0" w:name="page21"/>
    <w:bookmarkEnd w:id="20"/>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thousands, except per-share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gridSpan w:val="6"/>
          </w:tcPr>
          <w:p>
            <w:pPr>
              <w:jc w:val="right"/>
              <w:ind w:right="640"/>
              <w:spacing w:after="0"/>
              <w:rPr>
                <w:sz w:val="20"/>
                <w:szCs w:val="20"/>
                <w:color w:val="auto"/>
              </w:rPr>
            </w:pPr>
            <w:r>
              <w:rPr>
                <w:rFonts w:ascii="Arial" w:cs="Arial" w:eastAsia="Arial" w:hAnsi="Arial"/>
                <w:sz w:val="18"/>
                <w:szCs w:val="18"/>
                <w:color w:val="auto"/>
                <w:w w:val="98"/>
              </w:rPr>
              <w:t>Three months ended</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gridSpan w:val="5"/>
          </w:tcPr>
          <w:p>
            <w:pPr>
              <w:ind w:left="3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40" w:type="dxa"/>
            <w:vAlign w:val="bottom"/>
            <w:tcBorders>
              <w:top w:val="single" w:sz="8" w:color="auto"/>
            </w:tcBorders>
            <w:gridSpan w:val="3"/>
          </w:tcPr>
          <w:p>
            <w:pPr>
              <w:jc w:val="right"/>
              <w:ind w:right="320"/>
              <w:spacing w:after="0"/>
              <w:rPr>
                <w:sz w:val="20"/>
                <w:szCs w:val="20"/>
                <w:color w:val="auto"/>
              </w:rPr>
            </w:pPr>
            <w:r>
              <w:rPr>
                <w:rFonts w:ascii="Arial" w:cs="Arial" w:eastAsia="Arial" w:hAnsi="Arial"/>
                <w:sz w:val="18"/>
                <w:szCs w:val="18"/>
                <w:color w:val="auto"/>
                <w:w w:val="87"/>
              </w:rPr>
              <w:t>9/30/2006</w:t>
            </w:r>
          </w:p>
        </w:tc>
        <w:tc>
          <w:tcPr>
            <w:tcW w:w="10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9/30/2005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9/30/2006</w:t>
            </w:r>
          </w:p>
        </w:tc>
        <w:tc>
          <w:tcPr>
            <w:tcW w:w="6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9/30/2005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375,223</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319,967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w w:val="87"/>
              </w:rPr>
              <w:t>1,098,877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904,501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and other income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75,140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68,561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226,268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1,388</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1,077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3,943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451,751</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389,605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1,329,088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1,112,024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1,123</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902</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3,144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450,628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388,703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7"/>
              </w:rPr>
              <w:t>1,325,944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1,109,320</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168,750</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132,011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494,469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17,464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15,394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66,514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10,795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33,164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20,843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18,646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60,701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31,964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32,005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99,134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250,109</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208,851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753,982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626,666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200,519</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179,852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571,962</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482,654</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Other investment income</w:t>
            </w: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17,007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4,464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48,336</w:t>
            </w:r>
          </w:p>
        </w:tc>
        <w:tc>
          <w:tcPr>
            <w:tcW w:w="10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1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17,007</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48,056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217,526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184,221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620,018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89,336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67,886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239,423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181,028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128,190</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116,335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380,595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313,381</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6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262,343</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260,012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263,707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Assuming dilution</w:t>
            </w:r>
          </w:p>
        </w:tc>
        <w:tc>
          <w:tcPr>
            <w:tcW w:w="1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277,630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272,865</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278,424</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80" w:type="dxa"/>
            <w:vAlign w:val="bottom"/>
            <w:vMerge w:val="restart"/>
          </w:tcPr>
          <w:p>
            <w:pPr>
              <w:jc w:val="right"/>
              <w:ind w:right="290"/>
              <w:spacing w:after="0"/>
              <w:rPr>
                <w:sz w:val="20"/>
                <w:szCs w:val="20"/>
                <w:color w:val="auto"/>
              </w:rPr>
            </w:pPr>
            <w:r>
              <w:rPr>
                <w:rFonts w:ascii="Arial" w:cs="Arial" w:eastAsia="Arial" w:hAnsi="Arial"/>
                <w:sz w:val="18"/>
                <w:szCs w:val="18"/>
                <w:color w:val="auto"/>
              </w:rPr>
              <w:t>- 3 -</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5"/>
          </w:tcPr>
          <w:p>
            <w:pPr>
              <w:ind w:left="20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0"/>
                <w:szCs w:val="20"/>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Borders>
              <w:top w:val="single" w:sz="8" w:color="auto"/>
            </w:tcBorders>
            <w:gridSpan w:val="3"/>
          </w:tcPr>
          <w:p>
            <w:pPr>
              <w:jc w:val="right"/>
              <w:ind w:right="640"/>
              <w:spacing w:after="0"/>
              <w:rPr>
                <w:sz w:val="20"/>
                <w:szCs w:val="20"/>
                <w:color w:val="auto"/>
              </w:rPr>
            </w:pPr>
            <w:r>
              <w:rPr>
                <w:rFonts w:ascii="Arial" w:cs="Arial" w:eastAsia="Arial" w:hAnsi="Arial"/>
                <w:sz w:val="18"/>
                <w:szCs w:val="18"/>
                <w:color w:val="auto"/>
                <w:w w:val="89"/>
              </w:rPr>
              <w:t>9/30/2006</w:t>
            </w:r>
          </w:p>
        </w:tc>
        <w:tc>
          <w:tcPr>
            <w:tcW w:w="7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87"/>
              </w:rPr>
              <w:t>9/30/2005</w:t>
            </w:r>
          </w:p>
        </w:tc>
        <w:tc>
          <w:tcPr>
            <w:tcW w:w="660" w:type="dxa"/>
            <w:vAlign w:val="bottom"/>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9/30/2006</w:t>
            </w:r>
          </w:p>
        </w:tc>
        <w:tc>
          <w:tcPr>
            <w:tcW w:w="6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4"/>
              </w:rPr>
              <w:t>9/30/2005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thousands)</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balanced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230,954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198,379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685,990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39,800</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36,246</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114,104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105,926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270,754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234,625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800,094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portfolios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104,469</w:t>
            </w: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85,342</w:t>
            </w: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298,783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247,549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375,223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319,967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$ 1,098,877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904,501</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Stock and balanced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129.0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148.6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w w:val="84"/>
              </w:rPr>
              <w:t>184.4</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92.5</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4"/>
              </w:rPr>
              <w:t>297.9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9/30/2006</w:t>
            </w:r>
          </w:p>
        </w:tc>
        <w:tc>
          <w:tcPr>
            <w:tcW w:w="660" w:type="dxa"/>
            <w:vAlign w:val="bottom"/>
          </w:tcPr>
          <w:p>
            <w:pPr>
              <w:spacing w:after="0"/>
              <w:rPr>
                <w:sz w:val="24"/>
                <w:szCs w:val="2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12/31/2005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balanced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190.8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Other portfolios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Stock and balanced portfolios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242.7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Fixed income portfolios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308.1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Condensed Consolidated Balance Sheet Information (in thousands)</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0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876,208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803,589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404,980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264,238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250,969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668,980</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665,692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454,570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362,237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2,655,707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2,310,546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(389,220)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(274,444)</w:t>
            </w:r>
          </w:p>
        </w:tc>
        <w:tc>
          <w:tcPr>
            <w:tcW w:w="0" w:type="dxa"/>
            <w:vAlign w:val="bottom"/>
          </w:tcPr>
          <w:p>
            <w:pPr>
              <w:spacing w:after="0"/>
              <w:rPr>
                <w:sz w:val="1"/>
                <w:szCs w:val="1"/>
                <w:color w:val="auto"/>
              </w:rPr>
            </w:pPr>
          </w:p>
        </w:tc>
      </w:tr>
      <w:tr>
        <w:trPr>
          <w:trHeight w:val="209"/>
        </w:trPr>
        <w:tc>
          <w:tcPr>
            <w:tcW w:w="8980" w:type="dxa"/>
            <w:vAlign w:val="bottom"/>
            <w:gridSpan w:val="9"/>
          </w:tcPr>
          <w:p>
            <w:pPr>
              <w:spacing w:after="0"/>
              <w:rPr>
                <w:sz w:val="20"/>
                <w:szCs w:val="20"/>
                <w:color w:val="auto"/>
              </w:rPr>
            </w:pPr>
            <w:r>
              <w:rPr>
                <w:rFonts w:ascii="Arial" w:cs="Arial" w:eastAsia="Arial" w:hAnsi="Arial"/>
                <w:sz w:val="18"/>
                <w:szCs w:val="18"/>
                <w:color w:val="auto"/>
                <w:w w:val="99"/>
              </w:rPr>
              <w:t>Stockholders’ equity, 263,464,234 common shares outstanding in 2006, including net unrealized holding gains of</w:t>
            </w: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40" w:type="dxa"/>
            <w:vAlign w:val="bottom"/>
            <w:gridSpan w:val="2"/>
          </w:tcPr>
          <w:p>
            <w:pPr>
              <w:spacing w:after="0"/>
              <w:rPr>
                <w:sz w:val="20"/>
                <w:szCs w:val="20"/>
                <w:color w:val="auto"/>
              </w:rPr>
            </w:pPr>
            <w:r>
              <w:rPr>
                <w:rFonts w:ascii="Arial" w:cs="Arial" w:eastAsia="Arial" w:hAnsi="Arial"/>
                <w:sz w:val="18"/>
                <w:szCs w:val="18"/>
                <w:color w:val="auto"/>
              </w:rPr>
              <w:t>$56,802 in 2006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$ 2,266,487</w:t>
            </w:r>
          </w:p>
        </w:tc>
        <w:tc>
          <w:tcPr>
            <w:tcW w:w="66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6"/>
              </w:rPr>
              <w:t>$ 2,036,102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9/30/2006</w:t>
            </w:r>
          </w:p>
        </w:tc>
        <w:tc>
          <w:tcPr>
            <w:tcW w:w="660" w:type="dxa"/>
            <w:vAlign w:val="bottom"/>
            <w:tcBorders>
              <w:top w:val="single" w:sz="8" w:color="auto"/>
            </w:tcBorders>
          </w:tcPr>
          <w:p>
            <w:pPr>
              <w:spacing w:after="0"/>
              <w:rPr>
                <w:sz w:val="20"/>
                <w:szCs w:val="20"/>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9/30/2005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Cash Flows Information (in thousands)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rPr>
              <w:t>524,317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475,960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Cash used in investing activities, including $175,257 for mutual fund and other</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investments and $69,107 for additions to property and equipment in 2006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(254,768)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tcPr>
          <w:p>
            <w:pPr>
              <w:spacing w:after="0" w:line="201" w:lineRule="exact"/>
              <w:rPr>
                <w:sz w:val="20"/>
                <w:szCs w:val="20"/>
                <w:color w:val="auto"/>
              </w:rPr>
            </w:pPr>
            <w:r>
              <w:rPr>
                <w:rFonts w:ascii="Arial" w:cs="Arial" w:eastAsia="Arial" w:hAnsi="Arial"/>
                <w:sz w:val="18"/>
                <w:szCs w:val="18"/>
                <w:color w:val="auto"/>
              </w:rPr>
              <w:t>Cash used in financing activities, including $170,968 for repurchases of</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common stock and $110,767 for dividends, net of $77,460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40" w:type="dxa"/>
            <w:vAlign w:val="bottom"/>
            <w:gridSpan w:val="2"/>
          </w:tcPr>
          <w:p>
            <w:pPr>
              <w:spacing w:after="0"/>
              <w:rPr>
                <w:sz w:val="20"/>
                <w:szCs w:val="20"/>
                <w:color w:val="auto"/>
              </w:rPr>
            </w:pPr>
            <w:r>
              <w:rPr>
                <w:rFonts w:ascii="Arial" w:cs="Arial" w:eastAsia="Arial" w:hAnsi="Arial"/>
                <w:sz w:val="18"/>
                <w:szCs w:val="18"/>
                <w:color w:val="auto"/>
              </w:rPr>
              <w:t>from stock option exercises in 2006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color w:val="auto"/>
              </w:rPr>
              <w:t>(196,930)</w:t>
            </w:r>
          </w:p>
        </w:tc>
        <w:tc>
          <w:tcPr>
            <w:tcW w:w="10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(136,572)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during the period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72,619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ind w:left="5560"/>
              <w:spacing w:after="0"/>
              <w:rPr>
                <w:sz w:val="20"/>
                <w:szCs w:val="20"/>
                <w:color w:val="auto"/>
              </w:rPr>
            </w:pPr>
            <w:r>
              <w:rPr>
                <w:rFonts w:ascii="Arial" w:cs="Arial" w:eastAsia="Arial" w:hAnsi="Arial"/>
                <w:sz w:val="18"/>
                <w:szCs w:val="18"/>
                <w:color w:val="auto"/>
              </w:rPr>
              <w:t>- 4 -</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lvl w:ilvl="1">
      <w:lvlJc w:val="left"/>
      <w:lvlText w:val="(%2)"/>
      <w:numFmt w:val="lowerLetter"/>
      <w:start w:val="1"/>
    </w:lvl>
  </w:abstractNum>
  <w:abstractNum w:abstractNumId="1">
    <w:nsid w:val="74B0DC51"/>
    <w:multiLevelType w:val="hybridMultilevel"/>
    <w:lvl w:ilvl="0">
      <w:lvlJc w:val="left"/>
      <w:lvlText w:val="%1."/>
      <w:numFmt w:val="decimal"/>
      <w:start w:val="1"/>
    </w:lvl>
    <w:lvl w:ilvl="1">
      <w:lvlJc w:val="left"/>
      <w:lvlText w:val="(%2)"/>
      <w:numFmt w:val="lowerLetter"/>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2019-12-15T01:54:08Z</dcterms:created>
  <dcterms:modified xsi:type="dcterms:W3CDTF">2019-12-15T01:54:08Z</dcterms:modified>
</cp:coreProperties>
</file>