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517525</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-170815</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67" w:lineRule="exact"/>
        <w:rPr>
          <w:sz w:val="24"/>
          <w:szCs w:val="24"/>
          <w:color w:val="auto"/>
        </w:rPr>
      </w:pPr>
    </w:p>
    <w:p>
      <w:pPr>
        <w:ind w:left="720" w:hanging="449"/>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52"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2020</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203" w:lineRule="exact"/>
        <w:rPr>
          <w:sz w:val="24"/>
          <w:szCs w:val="24"/>
          <w:color w:val="auto"/>
        </w:rPr>
      </w:pPr>
    </w:p>
    <w:p>
      <w:pPr>
        <w:ind w:left="720" w:hanging="449"/>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rFonts w:ascii="MS PGothic" w:cs="MS PGothic" w:eastAsia="MS PGothic" w:hAnsi="MS PGothic"/>
          <w:sz w:val="18"/>
          <w:szCs w:val="18"/>
          <w:color w:val="auto"/>
        </w:rPr>
      </w:pPr>
    </w:p>
    <w:p>
      <w:pPr>
        <w:ind w:left="4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000-32191</w:t>
      </w:r>
    </w:p>
    <w:p>
      <w:pPr>
        <w:spacing w:after="0" w:line="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 ROWE PRICE GROUP,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60"/>
          </w:cols>
          <w:pgMar w:left="320" w:top="933" w:right="419" w:bottom="1440" w:gutter="0" w:footer="0" w:header="0"/>
        </w:sectPr>
      </w:pPr>
    </w:p>
    <w:p>
      <w:pPr>
        <w:spacing w:after="0" w:line="149" w:lineRule="exact"/>
        <w:rPr>
          <w:sz w:val="24"/>
          <w:szCs w:val="24"/>
          <w:color w:val="auto"/>
        </w:rPr>
      </w:pPr>
    </w:p>
    <w:p>
      <w:pPr>
        <w:ind w:left="228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70" w:lineRule="exact"/>
        <w:rPr>
          <w:sz w:val="24"/>
          <w:szCs w:val="24"/>
          <w:color w:val="auto"/>
        </w:rPr>
      </w:pPr>
    </w:p>
    <w:p>
      <w:pPr>
        <w:sectPr>
          <w:pgSz w:w="11900" w:h="16838" w:orient="portrait"/>
          <w:cols w:equalWidth="0" w:num="2">
            <w:col w:w="7200" w:space="720"/>
            <w:col w:w="3240"/>
          </w:cols>
          <w:pgMar w:left="320" w:top="933" w:right="419" w:bottom="1440" w:gutter="0" w:footer="0" w:header="0"/>
          <w:type w:val="continuous"/>
        </w:sectPr>
      </w:pPr>
    </w:p>
    <w:p>
      <w:pPr>
        <w:ind w:left="188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80" w:lineRule="exact"/>
        <w:rPr>
          <w:sz w:val="24"/>
          <w:szCs w:val="24"/>
          <w:color w:val="auto"/>
        </w:rPr>
      </w:pPr>
    </w:p>
    <w:p>
      <w:pPr>
        <w:sectPr>
          <w:pgSz w:w="11900" w:h="16838" w:orient="portrait"/>
          <w:cols w:equalWidth="0" w:num="2">
            <w:col w:w="6500" w:space="720"/>
            <w:col w:w="3940"/>
          </w:cols>
          <w:pgMar w:left="320" w:top="933" w:right="419" w:bottom="1440" w:gutter="0" w:footer="0" w:header="0"/>
          <w:type w:val="continuous"/>
        </w:sectPr>
      </w:pPr>
    </w:p>
    <w:p>
      <w:pPr>
        <w:ind w:left="3560"/>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ectPr>
          <w:pgSz w:w="11900" w:h="16838" w:orient="portrait"/>
          <w:cols w:equalWidth="0" w:num="1">
            <w:col w:w="11160"/>
          </w:cols>
          <w:pgMar w:left="320" w:top="933" w:right="419" w:bottom="1440" w:gutter="0" w:footer="0" w:header="0"/>
          <w:type w:val="continuous"/>
        </w:sectPr>
      </w:pPr>
    </w:p>
    <w:p>
      <w:pPr>
        <w:spacing w:after="0" w:line="203"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Common stock, $.20 par value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TROW</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70" w:lineRule="exact"/>
        <w:rPr>
          <w:sz w:val="24"/>
          <w:szCs w:val="24"/>
          <w:color w:val="auto"/>
        </w:rPr>
      </w:pPr>
    </w:p>
    <w:p>
      <w:pPr>
        <w:sectPr>
          <w:pgSz w:w="11900" w:h="16838" w:orient="portrait"/>
          <w:cols w:equalWidth="0" w:num="3">
            <w:col w:w="4580" w:space="720"/>
            <w:col w:w="1460" w:space="720"/>
            <w:col w:w="3680"/>
          </w:cols>
          <w:pgMar w:left="320" w:top="933" w:right="419" w:bottom="1440" w:gutter="0" w:footer="0" w:header="0"/>
          <w:type w:val="continuous"/>
        </w:sectPr>
      </w:pPr>
    </w:p>
    <w:p>
      <w:pPr>
        <w:ind w:left="1820"/>
        <w:spacing w:after="0"/>
        <w:rPr>
          <w:sz w:val="20"/>
          <w:szCs w:val="20"/>
          <w:color w:val="auto"/>
        </w:rPr>
      </w:pPr>
      <w:r>
        <w:rPr>
          <w:rFonts w:ascii="Arial" w:cs="Arial" w:eastAsia="Arial" w:hAnsi="Arial"/>
          <w:sz w:val="14"/>
          <w:szCs w:val="14"/>
          <w:b w:val="1"/>
          <w:bCs w:val="1"/>
          <w:color w:val="auto"/>
        </w:rPr>
        <w:t>(title of 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(ticker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114" w:lineRule="exact"/>
        <w:rPr>
          <w:sz w:val="24"/>
          <w:szCs w:val="24"/>
          <w:color w:val="auto"/>
        </w:rPr>
      </w:pPr>
    </w:p>
    <w:p>
      <w:pPr>
        <w:sectPr>
          <w:pgSz w:w="11900" w:h="16838" w:orient="portrait"/>
          <w:cols w:equalWidth="0" w:num="3">
            <w:col w:w="4340" w:space="720"/>
            <w:col w:w="1660" w:space="720"/>
            <w:col w:w="3720"/>
          </w:cols>
          <w:pgMar w:left="320" w:top="933" w:right="419" w:bottom="1440" w:gutter="0" w:footer="0" w:header="0"/>
          <w:type w:val="continuous"/>
        </w:sectPr>
      </w:pPr>
    </w:p>
    <w:p>
      <w:pPr>
        <w:ind w:left="4740"/>
        <w:spacing w:after="0"/>
        <w:rPr>
          <w:sz w:val="20"/>
          <w:szCs w:val="20"/>
          <w:color w:val="auto"/>
        </w:rPr>
      </w:pPr>
      <w:r>
        <w:rPr>
          <w:rFonts w:ascii="Arial" w:cs="Arial" w:eastAsia="Arial" w:hAnsi="Arial"/>
          <w:sz w:val="14"/>
          <w:szCs w:val="14"/>
          <w:color w:val="auto"/>
        </w:rPr>
        <w:t>______________________</w:t>
      </w:r>
    </w:p>
    <w:p>
      <w:pPr>
        <w:sectPr>
          <w:pgSz w:w="11900" w:h="16838" w:orient="portrait"/>
          <w:cols w:equalWidth="0" w:num="1">
            <w:col w:w="11160"/>
          </w:cols>
          <w:pgMar w:left="320" w:top="933" w:right="419" w:bottom="1440" w:gutter="0" w:footer="0" w:header="0"/>
          <w:type w:val="continuous"/>
        </w:sectPr>
      </w:pPr>
    </w:p>
    <w:p>
      <w:pPr>
        <w:spacing w:after="0" w:line="66" w:lineRule="exact"/>
        <w:rPr>
          <w:sz w:val="24"/>
          <w:szCs w:val="24"/>
          <w:color w:val="auto"/>
        </w:rPr>
      </w:pPr>
    </w:p>
    <w:p>
      <w:pPr>
        <w:ind w:right="22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ind w:right="4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0"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7"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4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4960" w:type="dxa"/>
            <w:vAlign w:val="bottom"/>
          </w:tcPr>
          <w:p>
            <w:pPr>
              <w:spacing w:after="0"/>
              <w:rPr>
                <w:sz w:val="24"/>
                <w:szCs w:val="24"/>
                <w:color w:val="auto"/>
              </w:rPr>
            </w:pPr>
          </w:p>
        </w:tc>
        <w:tc>
          <w:tcPr>
            <w:tcW w:w="5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4960" w:type="dxa"/>
            <w:vAlign w:val="bottom"/>
          </w:tcPr>
          <w:p>
            <w:pPr>
              <w:spacing w:after="0"/>
              <w:rPr>
                <w:sz w:val="20"/>
                <w:szCs w:val="20"/>
                <w:color w:val="auto"/>
              </w:rPr>
            </w:pPr>
            <w:r>
              <w:rPr>
                <w:rFonts w:ascii="Arial" w:cs="Arial" w:eastAsia="Arial" w:hAnsi="Arial"/>
                <w:sz w:val="16"/>
                <w:szCs w:val="16"/>
                <w:color w:val="auto"/>
              </w:rPr>
              <w:t>Non-accelerated filer (do not check if smaller reporting company)</w:t>
            </w:r>
          </w:p>
        </w:tc>
        <w:tc>
          <w:tcPr>
            <w:tcW w:w="5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00" w:type="dxa"/>
            <w:vAlign w:val="bottom"/>
          </w:tcPr>
          <w:p>
            <w:pPr>
              <w:ind w:left="16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9" w:lineRule="exact"/>
        <w:rPr>
          <w:sz w:val="24"/>
          <w:szCs w:val="24"/>
          <w:color w:val="auto"/>
        </w:rPr>
      </w:pPr>
    </w:p>
    <w:p>
      <w:pPr>
        <w:jc w:val="both"/>
        <w:ind w:right="6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24, 2020, is 227,548,883.</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054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33"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3/31/2020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12/31/2019</w:t>
            </w:r>
          </w:p>
        </w:tc>
      </w:tr>
      <w:tr>
        <w:trPr>
          <w:trHeight w:val="257"/>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1,781.8</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646.6</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2,939.8</w:t>
            </w:r>
          </w:p>
        </w:tc>
      </w:tr>
      <w:tr>
        <w:trPr>
          <w:trHeight w:val="229"/>
        </w:trPr>
        <w:tc>
          <w:tcPr>
            <w:tcW w:w="840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($1,795.8 million at March 31, 2020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8400" w:type="dxa"/>
            <w:vAlign w:val="bottom"/>
          </w:tcPr>
          <w:p>
            <w:pPr>
              <w:ind w:left="40"/>
              <w:spacing w:after="0"/>
              <w:rPr>
                <w:sz w:val="20"/>
                <w:szCs w:val="20"/>
                <w:color w:val="auto"/>
              </w:rPr>
            </w:pPr>
            <w:r>
              <w:rPr>
                <w:rFonts w:ascii="Arial" w:cs="Arial" w:eastAsia="Arial" w:hAnsi="Arial"/>
                <w:sz w:val="18"/>
                <w:szCs w:val="18"/>
                <w:color w:val="auto"/>
              </w:rPr>
              <w:t>and $1,975.3 million at December 31, 2019, related to variable interest entities)</w:t>
            </w:r>
          </w:p>
        </w:tc>
        <w:tc>
          <w:tcPr>
            <w:tcW w:w="2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2,276.9</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110.8</w:t>
            </w: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674.4</w:t>
            </w:r>
          </w:p>
        </w:tc>
      </w:tr>
      <w:tr>
        <w:trPr>
          <w:trHeight w:val="27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665.7</w:t>
            </w:r>
          </w:p>
        </w:tc>
      </w:tr>
      <w:tr>
        <w:trPr>
          <w:trHeight w:val="26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234.4</w:t>
            </w: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8,636.9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9,330.4</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214.5</w:t>
            </w:r>
          </w:p>
        </w:tc>
      </w:tr>
      <w:tr>
        <w:trPr>
          <w:trHeight w:val="235"/>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of consolidated T. Rowe Price investment products ($72.0 million at March 31, 2020</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$27.0 million at December 31, 2019, related to variable interest entities)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146.3</w:t>
            </w: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563.4</w:t>
            </w:r>
          </w:p>
        </w:tc>
      </w:tr>
      <w:tr>
        <w:trPr>
          <w:trHeight w:val="27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5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1,231.9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1,107.3</w:t>
            </w:r>
          </w:p>
        </w:tc>
      </w:tr>
      <w:tr>
        <w:trPr>
          <w:trHeight w:val="324"/>
        </w:trPr>
        <w:tc>
          <w:tcPr>
            <w:tcW w:w="8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31"/>
        </w:trPr>
        <w:tc>
          <w:tcPr>
            <w:tcW w:w="8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1,121.0</w:t>
            </w:r>
          </w:p>
        </w:tc>
      </w:tr>
      <w:tr>
        <w:trPr>
          <w:trHeight w:val="331"/>
        </w:trPr>
        <w:tc>
          <w:tcPr>
            <w:tcW w:w="8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227,985,000 shares at March</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8400" w:type="dxa"/>
            <w:vAlign w:val="bottom"/>
          </w:tcPr>
          <w:p>
            <w:pPr>
              <w:ind w:left="180"/>
              <w:spacing w:after="0"/>
              <w:rPr>
                <w:sz w:val="20"/>
                <w:szCs w:val="20"/>
                <w:color w:val="auto"/>
              </w:rPr>
            </w:pPr>
            <w:r>
              <w:rPr>
                <w:rFonts w:ascii="Arial" w:cs="Arial" w:eastAsia="Arial" w:hAnsi="Arial"/>
                <w:sz w:val="18"/>
                <w:szCs w:val="18"/>
                <w:color w:val="auto"/>
              </w:rPr>
              <w:t>31, 2020 and 235,214,000 at December 31, 2019</w:t>
            </w:r>
          </w:p>
        </w:tc>
        <w:tc>
          <w:tcPr>
            <w:tcW w:w="24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47.0</w:t>
            </w: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5,782.9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6,443.5</w:t>
            </w:r>
          </w:p>
        </w:tc>
      </w:tr>
      <w:tr>
        <w:trPr>
          <w:trHeight w:val="27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50"/>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6,434.0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7,102.1</w:t>
            </w: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8,636.9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9,330.4</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ind w:right="518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4"/>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r>
      <w:tr>
        <w:trPr>
          <w:trHeight w:val="247"/>
        </w:trPr>
        <w:tc>
          <w:tcPr>
            <w:tcW w:w="8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3/31/2019</w:t>
            </w:r>
          </w:p>
        </w:tc>
      </w:tr>
      <w:tr>
        <w:trPr>
          <w:trHeight w:val="269"/>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1,327.8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1,194.2</w:t>
            </w:r>
          </w:p>
        </w:tc>
      </w:tr>
      <w:tr>
        <w:trPr>
          <w:trHeight w:val="27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133.1</w:t>
            </w:r>
          </w:p>
        </w:tc>
      </w:tr>
      <w:tr>
        <w:trPr>
          <w:trHeight w:val="25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1,462.6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1,327.3</w:t>
            </w:r>
          </w:p>
        </w:tc>
      </w:tr>
      <w:tr>
        <w:trPr>
          <w:trHeight w:val="324"/>
        </w:trPr>
        <w:tc>
          <w:tcPr>
            <w:tcW w:w="8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491.5</w:t>
            </w: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Distribution and servicing</w:t>
            </w: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66.4</w:t>
            </w: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Product-related costs</w:t>
            </w: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44.2</w:t>
            </w: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r>
      <w:tr>
        <w:trPr>
          <w:trHeight w:val="263"/>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73.0</w:t>
            </w:r>
          </w:p>
        </w:tc>
      </w:tr>
      <w:tr>
        <w:trPr>
          <w:trHeight w:val="25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755.4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794.8</w:t>
            </w:r>
          </w:p>
        </w:tc>
      </w:tr>
      <w:tr>
        <w:trPr>
          <w:trHeight w:val="324"/>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707.2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532.5</w:t>
            </w:r>
          </w:p>
        </w:tc>
      </w:tr>
      <w:tr>
        <w:trPr>
          <w:trHeight w:val="324"/>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 (loss)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8400" w:type="dxa"/>
            <w:vAlign w:val="bottom"/>
          </w:tcPr>
          <w:p>
            <w:pPr>
              <w:ind w:left="180"/>
              <w:spacing w:after="0"/>
              <w:rPr>
                <w:sz w:val="20"/>
                <w:szCs w:val="20"/>
                <w:color w:val="auto"/>
              </w:rPr>
            </w:pPr>
            <w:r>
              <w:rPr>
                <w:rFonts w:ascii="Arial" w:cs="Arial" w:eastAsia="Arial" w:hAnsi="Arial"/>
                <w:sz w:val="18"/>
                <w:szCs w:val="18"/>
                <w:color w:val="auto"/>
              </w:rPr>
              <w:t>Net gains (losses) on investments</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100.1</w:t>
            </w: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r>
      <w:tr>
        <w:trPr>
          <w:trHeight w:val="263"/>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(loss)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5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202.8</w:t>
            </w:r>
          </w:p>
        </w:tc>
      </w:tr>
      <w:tr>
        <w:trPr>
          <w:trHeight w:val="324"/>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735.3</w:t>
            </w:r>
          </w:p>
        </w:tc>
      </w:tr>
      <w:tr>
        <w:trPr>
          <w:trHeight w:val="263"/>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181.3</w:t>
            </w:r>
          </w:p>
        </w:tc>
      </w:tr>
      <w:tr>
        <w:trPr>
          <w:trHeight w:val="257"/>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554.0</w:t>
            </w:r>
          </w:p>
        </w:tc>
      </w:tr>
      <w:tr>
        <w:trPr>
          <w:trHeight w:val="263"/>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(loss) attributable to redeemable non-controlling interests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41.4</w:t>
            </w:r>
          </w:p>
        </w:tc>
      </w:tr>
      <w:tr>
        <w:trPr>
          <w:trHeight w:val="25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512.6</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4"/>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97"/>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2.11</w:t>
            </w:r>
          </w:p>
        </w:tc>
      </w:tr>
      <w:tr>
        <w:trPr>
          <w:trHeight w:val="237"/>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right="356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4"/>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r>
      <w:tr>
        <w:trPr>
          <w:trHeight w:val="247"/>
        </w:trPr>
        <w:tc>
          <w:tcPr>
            <w:tcW w:w="84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3/31/2019</w:t>
            </w:r>
          </w:p>
        </w:tc>
      </w:tr>
      <w:tr>
        <w:trPr>
          <w:trHeight w:val="256"/>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554.0</w:t>
            </w:r>
          </w:p>
        </w:tc>
      </w:tr>
      <w:tr>
        <w:trPr>
          <w:trHeight w:val="257"/>
        </w:trPr>
        <w:tc>
          <w:tcPr>
            <w:tcW w:w="8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400" w:type="dxa"/>
            <w:vAlign w:val="bottom"/>
          </w:tcPr>
          <w:p>
            <w:pPr>
              <w:ind w:left="280"/>
              <w:spacing w:after="0"/>
              <w:rPr>
                <w:sz w:val="20"/>
                <w:szCs w:val="20"/>
                <w:color w:val="auto"/>
              </w:rPr>
            </w:pPr>
            <w:r>
              <w:rPr>
                <w:rFonts w:ascii="Arial" w:cs="Arial" w:eastAsia="Arial" w:hAnsi="Arial"/>
                <w:sz w:val="18"/>
                <w:szCs w:val="18"/>
                <w:color w:val="auto"/>
              </w:rPr>
              <w:t>Consolidated T. Rowe Price investment products - variable interest entities</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5"/>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 gains recognized in non-operating income upon deconsolidation of certain T. Rowe</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Price investment products</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8400" w:type="dxa"/>
            <w:vAlign w:val="bottom"/>
          </w:tcPr>
          <w:p>
            <w:pPr>
              <w:ind w:left="260"/>
              <w:spacing w:after="0"/>
              <w:rPr>
                <w:sz w:val="20"/>
                <w:szCs w:val="20"/>
                <w:color w:val="auto"/>
              </w:rPr>
            </w:pPr>
            <w:r>
              <w:rPr>
                <w:rFonts w:ascii="Arial" w:cs="Arial" w:eastAsia="Arial" w:hAnsi="Arial"/>
                <w:sz w:val="18"/>
                <w:szCs w:val="18"/>
                <w:color w:val="auto"/>
              </w:rPr>
              <w:t>Total currency translation adjustments of consolidated T. Rowe Price investment products - variable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4"/>
        </w:trPr>
        <w:tc>
          <w:tcPr>
            <w:tcW w:w="8400" w:type="dxa"/>
            <w:vAlign w:val="bottom"/>
          </w:tcPr>
          <w:p>
            <w:pPr>
              <w:ind w:left="260"/>
              <w:spacing w:after="0"/>
              <w:rPr>
                <w:sz w:val="20"/>
                <w:szCs w:val="20"/>
                <w:color w:val="auto"/>
              </w:rPr>
            </w:pPr>
            <w:r>
              <w:rPr>
                <w:rFonts w:ascii="Arial" w:cs="Arial" w:eastAsia="Arial" w:hAnsi="Arial"/>
                <w:sz w:val="18"/>
                <w:szCs w:val="18"/>
                <w:color w:val="auto"/>
              </w:rPr>
              <w:t>interest entities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50"/>
        </w:trPr>
        <w:tc>
          <w:tcPr>
            <w:tcW w:w="8400" w:type="dxa"/>
            <w:vAlign w:val="bottom"/>
          </w:tcPr>
          <w:p>
            <w:pPr>
              <w:ind w:left="40"/>
              <w:spacing w:after="0"/>
              <w:rPr>
                <w:sz w:val="20"/>
                <w:szCs w:val="20"/>
                <w:color w:val="auto"/>
              </w:rPr>
            </w:pPr>
            <w:r>
              <w:rPr>
                <w:rFonts w:ascii="Arial" w:cs="Arial" w:eastAsia="Arial" w:hAnsi="Arial"/>
                <w:sz w:val="18"/>
                <w:szCs w:val="18"/>
                <w:color w:val="auto"/>
              </w:rPr>
              <w:t>Other comprehensive loss before income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0"/>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loss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3"/>
        </w:trPr>
        <w:tc>
          <w:tcPr>
            <w:tcW w:w="84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553.1</w:t>
            </w:r>
          </w:p>
        </w:tc>
      </w:tr>
      <w:tr>
        <w:trPr>
          <w:trHeight w:val="27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redeemable 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r>
      <w:tr>
        <w:trPr>
          <w:trHeight w:val="257"/>
        </w:trPr>
        <w:tc>
          <w:tcPr>
            <w:tcW w:w="8400" w:type="dxa"/>
            <w:vAlign w:val="bottom"/>
          </w:tcPr>
          <w:p>
            <w:pPr>
              <w:ind w:left="40"/>
              <w:spacing w:after="0"/>
              <w:rPr>
                <w:sz w:val="20"/>
                <w:szCs w:val="20"/>
                <w:color w:val="auto"/>
              </w:rPr>
            </w:pPr>
            <w:r>
              <w:rPr>
                <w:rFonts w:ascii="Arial" w:cs="Arial" w:eastAsia="Arial" w:hAnsi="Arial"/>
                <w:sz w:val="18"/>
                <w:szCs w:val="18"/>
                <w:color w:val="auto"/>
              </w:rPr>
              <w:t>Total comprehensive income attributable to T. Rowe Price Group</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513.0</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ind w:right="4680"/>
        <w:spacing w:after="0" w:line="287"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4"/>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0"/>
        </w:trPr>
        <w:tc>
          <w:tcPr>
            <w:tcW w:w="83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3/31/2019</w:t>
            </w:r>
          </w:p>
        </w:tc>
        <w:tc>
          <w:tcPr>
            <w:tcW w:w="0" w:type="dxa"/>
            <w:vAlign w:val="bottom"/>
          </w:tcPr>
          <w:p>
            <w:pPr>
              <w:spacing w:after="0"/>
              <w:rPr>
                <w:sz w:val="1"/>
                <w:szCs w:val="1"/>
                <w:color w:val="auto"/>
              </w:rPr>
            </w:pPr>
          </w:p>
        </w:tc>
      </w:tr>
      <w:tr>
        <w:trPr>
          <w:trHeight w:val="269"/>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3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8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63"/>
        </w:trPr>
        <w:tc>
          <w:tcPr>
            <w:tcW w:w="8380" w:type="dxa"/>
            <w:vAlign w:val="bottom"/>
          </w:tcPr>
          <w:p>
            <w:pPr>
              <w:ind w:left="340"/>
              <w:spacing w:after="0"/>
              <w:rPr>
                <w:sz w:val="20"/>
                <w:szCs w:val="20"/>
                <w:color w:val="auto"/>
              </w:rPr>
            </w:pPr>
            <w:r>
              <w:rPr>
                <w:rFonts w:ascii="Arial" w:cs="Arial" w:eastAsia="Arial" w:hAnsi="Arial"/>
                <w:sz w:val="18"/>
                <w:szCs w:val="18"/>
                <w:color w:val="auto"/>
              </w:rPr>
              <w:t>Net (gains) losses recognized on investments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5"/>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investments in T. Rowe Price investment products used to economically hedge supplemental</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savings plan liability</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63"/>
        </w:trPr>
        <w:tc>
          <w:tcPr>
            <w:tcW w:w="8380" w:type="dxa"/>
            <w:vAlign w:val="bottom"/>
          </w:tcPr>
          <w:p>
            <w:pPr>
              <w:ind w:left="34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7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787.7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324"/>
        </w:trPr>
        <w:tc>
          <w:tcPr>
            <w:tcW w:w="8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63"/>
        </w:trPr>
        <w:tc>
          <w:tcPr>
            <w:tcW w:w="8380" w:type="dxa"/>
            <w:vAlign w:val="bottom"/>
          </w:tcPr>
          <w:p>
            <w:pPr>
              <w:ind w:left="180"/>
              <w:spacing w:after="0"/>
              <w:rPr>
                <w:sz w:val="20"/>
                <w:szCs w:val="20"/>
                <w:color w:val="auto"/>
              </w:rPr>
            </w:pPr>
            <w:r>
              <w:rPr>
                <w:rFonts w:ascii="Arial" w:cs="Arial" w:eastAsia="Arial" w:hAnsi="Arial"/>
                <w:sz w:val="18"/>
                <w:szCs w:val="18"/>
                <w:color w:val="auto"/>
              </w:rPr>
              <w:t>Dispositions of T. Rowe Price investment products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of T. Rowe Price investment products on deconsolidation</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3"/>
        </w:trPr>
        <w:tc>
          <w:tcPr>
            <w:tcW w:w="838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324"/>
        </w:trPr>
        <w:tc>
          <w:tcPr>
            <w:tcW w:w="8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63"/>
        </w:trPr>
        <w:tc>
          <w:tcPr>
            <w:tcW w:w="838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63"/>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5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324"/>
        </w:trPr>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29"/>
        </w:trPr>
        <w:tc>
          <w:tcPr>
            <w:tcW w:w="83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 including $76.5 million at December 31, 2019,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$70.1 million at December 31, 2018, held by consolidated T. Rowe Price investment products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215"/>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 including $117.7 million at March 31, 2020, and $76.1</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1,680.1</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1,733.5</w:t>
            </w:r>
          </w:p>
        </w:tc>
        <w:tc>
          <w:tcPr>
            <w:tcW w:w="0" w:type="dxa"/>
            <w:vAlign w:val="bottom"/>
          </w:tcPr>
          <w:p>
            <w:pPr>
              <w:spacing w:after="0"/>
              <w:rPr>
                <w:sz w:val="1"/>
                <w:szCs w:val="1"/>
                <w:color w:val="auto"/>
              </w:rPr>
            </w:pPr>
          </w:p>
        </w:tc>
      </w:tr>
      <w:tr>
        <w:trPr>
          <w:trHeight w:val="217"/>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 at March 31, 2019, held by consolidated T. Rowe Price investment products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 w:name="page6"/>
    <w:bookmarkEnd w:id="5"/>
    <w:p>
      <w:pPr>
        <w:ind w:right="3620"/>
        <w:spacing w:after="0" w:line="287"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4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gridSpan w:val="6"/>
            <w:shd w:val="clear" w:color="auto" w:fill="CCEEFF"/>
          </w:tcPr>
          <w:p>
            <w:pPr>
              <w:ind w:left="140"/>
              <w:spacing w:after="0"/>
              <w:rPr>
                <w:sz w:val="20"/>
                <w:szCs w:val="20"/>
                <w:color w:val="auto"/>
              </w:rPr>
            </w:pPr>
            <w:r>
              <w:rPr>
                <w:rFonts w:ascii="Arial" w:cs="Arial" w:eastAsia="Arial" w:hAnsi="Arial"/>
                <w:sz w:val="13"/>
                <w:szCs w:val="13"/>
                <w:b w:val="1"/>
                <w:bCs w:val="1"/>
                <w:color w:val="auto"/>
              </w:rPr>
              <w:t>Three months ended 3/31/2020</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r>
      <w:tr>
        <w:trPr>
          <w:trHeight w:val="140"/>
        </w:trPr>
        <w:tc>
          <w:tcPr>
            <w:tcW w:w="5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Additional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4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Common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capital in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4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Common</w:t>
            </w:r>
          </w:p>
        </w:tc>
        <w:tc>
          <w:tcPr>
            <w:tcW w:w="7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excess of</w:t>
            </w:r>
          </w:p>
        </w:tc>
        <w:tc>
          <w:tcPr>
            <w:tcW w:w="8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1"/>
                <w:szCs w:val="11"/>
                <w:color w:val="auto"/>
              </w:rPr>
            </w:pPr>
          </w:p>
        </w:tc>
        <w:tc>
          <w:tcPr>
            <w:tcW w:w="7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controlling</w:t>
            </w:r>
          </w:p>
        </w:tc>
      </w:tr>
      <w:tr>
        <w:trPr>
          <w:trHeight w:val="177"/>
        </w:trPr>
        <w:tc>
          <w:tcPr>
            <w:tcW w:w="54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6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stock</w:t>
            </w:r>
          </w:p>
        </w:tc>
        <w:tc>
          <w:tcPr>
            <w:tcW w:w="760" w:type="dxa"/>
            <w:vAlign w:val="bottom"/>
            <w:gridSpan w:val="3"/>
          </w:tcPr>
          <w:p>
            <w:pPr>
              <w:ind w:left="60"/>
              <w:spacing w:after="0"/>
              <w:rPr>
                <w:sz w:val="20"/>
                <w:szCs w:val="20"/>
                <w:color w:val="auto"/>
              </w:rPr>
            </w:pPr>
            <w:r>
              <w:rPr>
                <w:rFonts w:ascii="Arial" w:cs="Arial" w:eastAsia="Arial" w:hAnsi="Arial"/>
                <w:sz w:val="13"/>
                <w:szCs w:val="13"/>
                <w:b w:val="1"/>
                <w:bCs w:val="1"/>
                <w:color w:val="auto"/>
              </w:rPr>
              <w:t>par value</w:t>
            </w: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5"/>
                <w:szCs w:val="15"/>
                <w:color w:val="auto"/>
              </w:rPr>
            </w:pPr>
          </w:p>
        </w:tc>
        <w:tc>
          <w:tcPr>
            <w:tcW w:w="760" w:type="dxa"/>
            <w:vAlign w:val="bottom"/>
          </w:tcPr>
          <w:p>
            <w:pPr>
              <w:jc w:val="center"/>
              <w:ind w:right="50"/>
              <w:spacing w:after="0"/>
              <w:rPr>
                <w:sz w:val="20"/>
                <w:szCs w:val="20"/>
                <w:color w:val="auto"/>
              </w:rPr>
            </w:pPr>
            <w:r>
              <w:rPr>
                <w:rFonts w:ascii="Arial" w:cs="Arial" w:eastAsia="Arial" w:hAnsi="Arial"/>
                <w:sz w:val="13"/>
                <w:szCs w:val="13"/>
                <w:b w:val="1"/>
                <w:bCs w:val="1"/>
                <w:color w:val="auto"/>
                <w:w w:val="95"/>
              </w:rPr>
              <w:t>interests</w:t>
            </w:r>
          </w:p>
        </w:tc>
      </w:tr>
      <w:tr>
        <w:trPr>
          <w:trHeight w:val="257"/>
        </w:trPr>
        <w:tc>
          <w:tcPr>
            <w:tcW w:w="5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December 31, 2019</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235,214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654.6</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$6,443.5</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7,102.1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1,121.0</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343.1</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343.1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(176.5)</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Dividends declared ($0.90 per share)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(214.7)</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Restricted stock units issued as dividend equivalents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(788.9)</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63.8</w:t>
            </w: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deconsolidations of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283"/>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at March 31, 2020</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227,985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45.6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$5,782.9</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6,434.0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971.0</w:t>
            </w:r>
          </w:p>
        </w:tc>
      </w:tr>
      <w:tr>
        <w:trPr>
          <w:trHeight w:val="318"/>
        </w:trPr>
        <w:tc>
          <w:tcPr>
            <w:tcW w:w="54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3"/>
        </w:trPr>
        <w:tc>
          <w:tcPr>
            <w:tcW w:w="54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6"/>
          </w:tcPr>
          <w:p>
            <w:pPr>
              <w:ind w:left="140"/>
              <w:spacing w:after="0"/>
              <w:rPr>
                <w:sz w:val="20"/>
                <w:szCs w:val="20"/>
                <w:color w:val="auto"/>
              </w:rPr>
            </w:pPr>
            <w:r>
              <w:rPr>
                <w:rFonts w:ascii="Arial" w:cs="Arial" w:eastAsia="Arial" w:hAnsi="Arial"/>
                <w:sz w:val="13"/>
                <w:szCs w:val="13"/>
                <w:b w:val="1"/>
                <w:bCs w:val="1"/>
                <w:color w:val="auto"/>
              </w:rPr>
              <w:t>Three months ended 3/31/2019</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r>
      <w:tr>
        <w:trPr>
          <w:trHeight w:val="140"/>
        </w:trPr>
        <w:tc>
          <w:tcPr>
            <w:tcW w:w="5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Additional</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0" w:lineRule="exact"/>
              <w:rPr>
                <w:sz w:val="20"/>
                <w:szCs w:val="20"/>
                <w:color w:val="auto"/>
              </w:rPr>
            </w:pPr>
            <w:r>
              <w:rPr>
                <w:rFonts w:ascii="Arial" w:cs="Arial" w:eastAsia="Arial" w:hAnsi="Arial"/>
                <w:sz w:val="13"/>
                <w:szCs w:val="13"/>
                <w:b w:val="1"/>
                <w:bCs w:val="1"/>
                <w:color w:val="auto"/>
                <w:w w:val="96"/>
              </w:rPr>
              <w:t>Redeemable</w:t>
            </w:r>
          </w:p>
        </w:tc>
      </w:tr>
      <w:tr>
        <w:trPr>
          <w:trHeight w:val="135"/>
        </w:trPr>
        <w:tc>
          <w:tcPr>
            <w:tcW w:w="54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Common</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capital in</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50"/>
              <w:spacing w:after="0" w:line="135" w:lineRule="exact"/>
              <w:rPr>
                <w:sz w:val="20"/>
                <w:szCs w:val="20"/>
                <w:color w:val="auto"/>
              </w:rPr>
            </w:pPr>
            <w:r>
              <w:rPr>
                <w:rFonts w:ascii="Arial" w:cs="Arial" w:eastAsia="Arial" w:hAnsi="Arial"/>
                <w:sz w:val="13"/>
                <w:szCs w:val="13"/>
                <w:b w:val="1"/>
                <w:bCs w:val="1"/>
                <w:color w:val="auto"/>
                <w:w w:val="99"/>
              </w:rPr>
              <w:t>non-</w:t>
            </w:r>
          </w:p>
        </w:tc>
      </w:tr>
      <w:tr>
        <w:trPr>
          <w:trHeight w:val="135"/>
        </w:trPr>
        <w:tc>
          <w:tcPr>
            <w:tcW w:w="54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shares</w:t>
            </w:r>
          </w:p>
        </w:tc>
        <w:tc>
          <w:tcPr>
            <w:tcW w:w="820" w:type="dxa"/>
            <w:vAlign w:val="bottom"/>
            <w:gridSpan w:val="3"/>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Common</w:t>
            </w:r>
          </w:p>
        </w:tc>
        <w:tc>
          <w:tcPr>
            <w:tcW w:w="76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b w:val="1"/>
                <w:bCs w:val="1"/>
                <w:color w:val="auto"/>
              </w:rPr>
              <w:t>excess of</w:t>
            </w:r>
          </w:p>
        </w:tc>
        <w:tc>
          <w:tcPr>
            <w:tcW w:w="8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stockholders’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50"/>
              <w:spacing w:after="0" w:line="135" w:lineRule="exact"/>
              <w:rPr>
                <w:sz w:val="20"/>
                <w:szCs w:val="20"/>
                <w:color w:val="auto"/>
              </w:rPr>
            </w:pPr>
            <w:r>
              <w:rPr>
                <w:rFonts w:ascii="Arial" w:cs="Arial" w:eastAsia="Arial" w:hAnsi="Arial"/>
                <w:sz w:val="13"/>
                <w:szCs w:val="13"/>
                <w:b w:val="1"/>
                <w:bCs w:val="1"/>
                <w:color w:val="auto"/>
                <w:w w:val="95"/>
              </w:rPr>
              <w:t>controlling</w:t>
            </w:r>
          </w:p>
        </w:tc>
      </w:tr>
      <w:tr>
        <w:trPr>
          <w:trHeight w:val="177"/>
        </w:trPr>
        <w:tc>
          <w:tcPr>
            <w:tcW w:w="54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6"/>
              </w:rPr>
              <w:t>outstanding</w:t>
            </w: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4"/>
              </w:rPr>
              <w:t>stock</w:t>
            </w:r>
          </w:p>
        </w:tc>
        <w:tc>
          <w:tcPr>
            <w:tcW w:w="7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par value</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earnings</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8"/>
                <w:szCs w:val="8"/>
                <w:b w:val="1"/>
                <w:bCs w:val="1"/>
                <w:color w:val="auto"/>
              </w:rPr>
              <w:t>(1)</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right="50"/>
              <w:spacing w:after="0"/>
              <w:rPr>
                <w:sz w:val="20"/>
                <w:szCs w:val="20"/>
                <w:color w:val="auto"/>
              </w:rPr>
            </w:pPr>
            <w:r>
              <w:rPr>
                <w:rFonts w:ascii="Arial" w:cs="Arial" w:eastAsia="Arial" w:hAnsi="Arial"/>
                <w:sz w:val="13"/>
                <w:szCs w:val="13"/>
                <w:b w:val="1"/>
                <w:bCs w:val="1"/>
                <w:color w:val="auto"/>
                <w:w w:val="95"/>
              </w:rPr>
              <w:t>interests</w:t>
            </w:r>
          </w:p>
        </w:tc>
      </w:tr>
      <w:tr>
        <w:trPr>
          <w:trHeight w:val="251"/>
        </w:trPr>
        <w:tc>
          <w:tcPr>
            <w:tcW w:w="5400" w:type="dxa"/>
            <w:vAlign w:val="bottom"/>
          </w:tcPr>
          <w:p>
            <w:pPr>
              <w:ind w:left="40"/>
              <w:spacing w:after="0"/>
              <w:rPr>
                <w:sz w:val="20"/>
                <w:szCs w:val="20"/>
                <w:color w:val="auto"/>
              </w:rPr>
            </w:pPr>
            <w:r>
              <w:rPr>
                <w:rFonts w:ascii="Arial" w:cs="Arial" w:eastAsia="Arial" w:hAnsi="Arial"/>
                <w:sz w:val="14"/>
                <w:szCs w:val="14"/>
                <w:color w:val="auto"/>
              </w:rPr>
              <w:t>Balances at December 31, 2018</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238,069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654.6</w:t>
            </w:r>
          </w:p>
        </w:tc>
        <w:tc>
          <w:tcPr>
            <w:tcW w:w="100" w:type="dxa"/>
            <w:vAlign w:val="bottom"/>
          </w:tcPr>
          <w:p>
            <w:pPr>
              <w:spacing w:after="0"/>
              <w:rPr>
                <w:sz w:val="21"/>
                <w:szCs w:val="21"/>
                <w:color w:val="auto"/>
              </w:rPr>
            </w:pPr>
          </w:p>
        </w:tc>
        <w:tc>
          <w:tcPr>
            <w:tcW w:w="7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$5,464.1</w:t>
            </w:r>
          </w:p>
        </w:tc>
        <w:tc>
          <w:tcPr>
            <w:tcW w:w="120" w:type="dxa"/>
            <w:vAlign w:val="bottom"/>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6,124.3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740.3</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512.6</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41.4</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($0.76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Shares issued upon option exercises</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shares issued upon vesting of restricted stock units</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Forfeiture of restricted awards</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Common shares repurchased</w:t>
            </w:r>
          </w:p>
        </w:tc>
        <w:tc>
          <w:tcPr>
            <w:tcW w:w="800" w:type="dxa"/>
            <w:vAlign w:val="bottom"/>
          </w:tcPr>
          <w:p>
            <w:pPr>
              <w:jc w:val="right"/>
              <w:spacing w:after="0"/>
              <w:rPr>
                <w:sz w:val="20"/>
                <w:szCs w:val="20"/>
                <w:color w:val="auto"/>
              </w:rPr>
            </w:pPr>
            <w:r>
              <w:rPr>
                <w:rFonts w:ascii="Arial" w:cs="Arial" w:eastAsia="Arial" w:hAnsi="Arial"/>
                <w:sz w:val="14"/>
                <w:szCs w:val="14"/>
                <w:color w:val="auto"/>
              </w:rPr>
              <w:t>(2,476)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subscriptions into T. Rowe Price investment products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85.9</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Net reconsolidations of T. Rowe Price investment products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20.4</w:t>
            </w:r>
          </w:p>
        </w:tc>
      </w:tr>
      <w:tr>
        <w:trPr>
          <w:trHeight w:val="242"/>
        </w:trPr>
        <w:tc>
          <w:tcPr>
            <w:tcW w:w="5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March 31, 2019</w:t>
            </w:r>
          </w:p>
        </w:tc>
        <w:tc>
          <w:tcPr>
            <w:tcW w:w="8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236,432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6,311.0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886.7</w:t>
            </w:r>
          </w:p>
        </w:tc>
      </w:tr>
      <w:tr>
        <w:trPr>
          <w:trHeight w:val="20"/>
        </w:trPr>
        <w:tc>
          <w:tcPr>
            <w:tcW w:w="5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i w:val="1"/>
          <w:iCs w:val="1"/>
          <w:color w:val="auto"/>
        </w:rPr>
      </w:pPr>
      <w:r>
        <w:rPr>
          <w:rFonts w:ascii="Arial" w:cs="Arial" w:eastAsia="Arial" w:hAnsi="Arial"/>
          <w:sz w:val="13"/>
          <w:szCs w:val="13"/>
          <w:i w:val="1"/>
          <w:iCs w:val="1"/>
          <w:color w:val="auto"/>
        </w:rPr>
        <w:t>Accumulated other comprehensive income.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(“U.S. mutual funds”), separately managed accounts, subadvised funds, and other T. Rowe Price products. The other T. Rowe Price products include: collective investment trusts,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0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0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unaudited interim financial information contained in these unaudited condensed consolidated financial statements should be read in conjunction with the consolidated financial statements contained in our 2019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 ACCOUNTING GUIDANCE.</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adopted Accounting Standards Update No. 2018-15 — Intangibles—Goodwill and Other— Internal-Use Software (Subtopic 350-40): Customer’s Accounting for Implementation Costs Incurred in a Cloud Computing Arrangement That Is a Service Contract on January 1, 2020 using the prospective method of adoption. This update required implementation costs incurred in cloud computing arrangements to be deferred and recognized over the term of the hosting arrangement. A hosting arrangement is an agreement that allows customers, like us, to access and use software on an as-needed basis without having possession of the software. Beginning on January 1, 2020, we are required to defer such qualifying implementation costs. As of March 31, 2020, we capitalized an immaterial amount of implementation costs incurred in a cloud computing arrangement. Accordingly, the adoption of this guidance did not have a material impact on our consolidated balance sheets or our consolidated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ECONOMIC RELIEF LEGISLATION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27, 2020, the U.S. enacted the Coronavirus Aid, Relief and Economic Security ("CARES") Act. The CARES Act provides economic relief to eligible businesses and individuals impacted by the novel coronavirus pandemic. We are currently assessing what impact, if any, the CARES Act’s provisions will have on our financial position and results of operations, but we do not believe the impact will be material.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first quarter of 2020 and 2019 under agreements with clients include: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Three months ended 3/31/2020</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5"/>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Three months ended 3/31/2019</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r>
      <w:tr>
        <w:trPr>
          <w:trHeight w:val="163"/>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2"/>
        </w:trPr>
        <w:tc>
          <w:tcPr>
            <w:tcW w:w="19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24"/>
              <w:spacing w:after="0"/>
              <w:rPr>
                <w:sz w:val="20"/>
                <w:szCs w:val="20"/>
                <w:color w:val="auto"/>
              </w:rPr>
            </w:pPr>
            <w:r>
              <w:rPr>
                <w:rFonts w:ascii="Arial" w:cs="Arial" w:eastAsia="Arial" w:hAnsi="Arial"/>
                <w:sz w:val="13"/>
                <w:szCs w:val="13"/>
                <w:b w:val="1"/>
                <w:bCs w:val="1"/>
                <w:color w:val="auto"/>
                <w:w w:val="99"/>
              </w:rPr>
              <w:t>servicing fees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24"/>
              <w:spacing w:after="0"/>
              <w:rPr>
                <w:sz w:val="20"/>
                <w:szCs w:val="20"/>
                <w:color w:val="auto"/>
              </w:rPr>
            </w:pPr>
            <w:r>
              <w:rPr>
                <w:rFonts w:ascii="Arial" w:cs="Arial" w:eastAsia="Arial" w:hAnsi="Arial"/>
                <w:sz w:val="13"/>
                <w:szCs w:val="13"/>
                <w:b w:val="1"/>
                <w:bCs w:val="1"/>
                <w:color w:val="auto"/>
                <w:w w:val="99"/>
              </w:rPr>
              <w:t>servicing fees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r>
      <w:tr>
        <w:trPr>
          <w:trHeight w:val="163"/>
        </w:trPr>
        <w:tc>
          <w:tcPr>
            <w:tcW w:w="1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49"/>
        </w:trPr>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82"/>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fees</w:t>
            </w: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2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876.2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981.3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815.9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922.7</w:t>
            </w:r>
          </w:p>
        </w:tc>
      </w:tr>
      <w:tr>
        <w:trPr>
          <w:trHeight w:val="228"/>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9"/>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4"/>
        </w:trPr>
        <w:tc>
          <w:tcPr>
            <w:tcW w:w="1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451.6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378.3</w:t>
            </w:r>
          </w:p>
        </w:tc>
      </w:tr>
      <w:tr>
        <w:trPr>
          <w:trHeight w:val="264"/>
        </w:trPr>
        <w:tc>
          <w:tcPr>
            <w:tcW w:w="1920" w:type="dxa"/>
            <w:vAlign w:val="bottom"/>
          </w:tcPr>
          <w:p>
            <w:pPr>
              <w:ind w:left="40"/>
              <w:spacing w:after="0"/>
              <w:rPr>
                <w:sz w:val="20"/>
                <w:szCs w:val="20"/>
                <w:color w:val="auto"/>
              </w:rPr>
            </w:pPr>
            <w:r>
              <w:rPr>
                <w:rFonts w:ascii="Arial" w:cs="Arial" w:eastAsia="Arial" w:hAnsi="Arial"/>
                <w:sz w:val="16"/>
                <w:szCs w:val="16"/>
                <w:color w:val="auto"/>
              </w:rPr>
              <w:t>Other clients</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26.3</w:t>
            </w:r>
          </w:p>
        </w:tc>
      </w:tr>
      <w:tr>
        <w:trPr>
          <w:trHeight w:val="236"/>
        </w:trPr>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106.9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1,194.2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102.9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1,327.3</w:t>
            </w:r>
          </w:p>
        </w:tc>
      </w:tr>
      <w:tr>
        <w:trPr>
          <w:trHeight w:val="20"/>
        </w:trPr>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Total net revenues earned from our related parties, specifically T. Rowe Price investment products, aggregate $1,207.7 million and $1,093.4 million for the three months ended March 31, 2020 and 2019, respectively. Accounts receivable from these products aggregate to $374.3 million at March 31, 2020, and $424.8 million at December 31, 2019.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gridSpan w:val="4"/>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Three months ended</w:t>
            </w:r>
          </w:p>
        </w:tc>
      </w:tr>
      <w:tr>
        <w:trPr>
          <w:trHeight w:val="247"/>
        </w:trPr>
        <w:tc>
          <w:tcPr>
            <w:tcW w:w="9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3/31/2019</w:t>
            </w:r>
          </w:p>
        </w:tc>
      </w:tr>
      <w:tr>
        <w:trPr>
          <w:trHeight w:val="269"/>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908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749.8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694.5</w:t>
            </w:r>
          </w:p>
        </w:tc>
      </w:tr>
      <w:tr>
        <w:trPr>
          <w:trHeight w:val="277"/>
        </w:trPr>
        <w:tc>
          <w:tcPr>
            <w:tcW w:w="9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w:t>
            </w:r>
          </w:p>
        </w:tc>
      </w:tr>
      <w:tr>
        <w:trPr>
          <w:trHeight w:val="244"/>
        </w:trPr>
        <w:tc>
          <w:tcPr>
            <w:tcW w:w="90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876.2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815.9</w:t>
            </w:r>
          </w:p>
        </w:tc>
      </w:tr>
      <w:tr>
        <w:trPr>
          <w:trHeight w:val="270"/>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908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385.2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318.8</w:t>
            </w:r>
          </w:p>
        </w:tc>
      </w:tr>
      <w:tr>
        <w:trPr>
          <w:trHeight w:val="277"/>
        </w:trPr>
        <w:tc>
          <w:tcPr>
            <w:tcW w:w="9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w:t>
            </w:r>
          </w:p>
        </w:tc>
      </w:tr>
      <w:tr>
        <w:trPr>
          <w:trHeight w:val="244"/>
        </w:trPr>
        <w:tc>
          <w:tcPr>
            <w:tcW w:w="90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451.6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378.3</w:t>
            </w:r>
          </w:p>
        </w:tc>
      </w:tr>
      <w:tr>
        <w:trPr>
          <w:trHeight w:val="256"/>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1,194.2</w:t>
            </w:r>
          </w:p>
        </w:tc>
      </w:tr>
      <w:tr>
        <w:trPr>
          <w:trHeight w:val="20"/>
        </w:trPr>
        <w:tc>
          <w:tcPr>
            <w:tcW w:w="9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under management on which we earn investment advisory fees.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00" w:type="dxa"/>
            <w:vAlign w:val="bottom"/>
            <w:gridSpan w:val="5"/>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2"/>
                <w:szCs w:val="22"/>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80" w:type="dxa"/>
            <w:vAlign w:val="bottom"/>
          </w:tcPr>
          <w:p>
            <w:pPr>
              <w:spacing w:after="0"/>
              <w:rPr>
                <w:sz w:val="22"/>
                <w:szCs w:val="22"/>
                <w:color w:val="auto"/>
              </w:rPr>
            </w:pPr>
          </w:p>
        </w:tc>
      </w:tr>
      <w:tr>
        <w:trPr>
          <w:trHeight w:val="256"/>
        </w:trPr>
        <w:tc>
          <w:tcPr>
            <w:tcW w:w="6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3/31/2019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w w:val="99"/>
              </w:rPr>
              <w:t>12/31/2019</w:t>
            </w:r>
          </w:p>
        </w:tc>
      </w:tr>
      <w:tr>
        <w:trPr>
          <w:trHeight w:val="257"/>
        </w:trPr>
        <w:tc>
          <w:tcPr>
            <w:tcW w:w="682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7"/>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552.4</w:t>
            </w:r>
          </w:p>
        </w:tc>
      </w:tr>
      <w:tr>
        <w:trPr>
          <w:trHeight w:val="263"/>
        </w:trPr>
        <w:tc>
          <w:tcPr>
            <w:tcW w:w="68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130.3</w:t>
            </w:r>
          </w:p>
        </w:tc>
      </w:tr>
      <w:tr>
        <w:trPr>
          <w:trHeight w:val="257"/>
        </w:trPr>
        <w:tc>
          <w:tcPr>
            <w:tcW w:w="68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654.3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562.3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682.7</w:t>
            </w:r>
          </w:p>
        </w:tc>
      </w:tr>
      <w:tr>
        <w:trPr>
          <w:trHeight w:val="257"/>
        </w:trPr>
        <w:tc>
          <w:tcPr>
            <w:tcW w:w="6820" w:type="dxa"/>
            <w:vAlign w:val="bottom"/>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7"/>
        </w:trPr>
        <w:tc>
          <w:tcPr>
            <w:tcW w:w="6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412.1</w:t>
            </w:r>
          </w:p>
        </w:tc>
      </w:tr>
      <w:tr>
        <w:trPr>
          <w:trHeight w:val="264"/>
        </w:trPr>
        <w:tc>
          <w:tcPr>
            <w:tcW w:w="68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112.0</w:t>
            </w:r>
          </w:p>
        </w:tc>
      </w:tr>
      <w:tr>
        <w:trPr>
          <w:trHeight w:val="250"/>
        </w:trPr>
        <w:tc>
          <w:tcPr>
            <w:tcW w:w="68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524.1</w:t>
            </w:r>
          </w:p>
        </w:tc>
      </w:tr>
      <w:tr>
        <w:trPr>
          <w:trHeight w:val="257"/>
        </w:trPr>
        <w:tc>
          <w:tcPr>
            <w:tcW w:w="682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1,043.5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1,008.8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1,206.8</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7.4% and 6.9% of our assets under management at March 31, 2020, and December 31, 2019, respectively.</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T. Rowe Price investment products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3/31/2020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12/31/2019</w:t>
            </w:r>
          </w:p>
        </w:tc>
      </w:tr>
      <w:tr>
        <w:trPr>
          <w:trHeight w:val="257"/>
        </w:trPr>
        <w:tc>
          <w:tcPr>
            <w:tcW w:w="818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1,088.1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1,402.9</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T. Rowe Price investment products designated as an economic hedge of supplemental savings plan</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18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561.1</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r>
      <w:tr>
        <w:trPr>
          <w:trHeight w:val="263"/>
        </w:trPr>
        <w:tc>
          <w:tcPr>
            <w:tcW w:w="818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864.5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705.6</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164.5</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2,731.3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2,939.8</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During the three months ended March 31, 2020, net losses on investments included $103.6 million of net unrealized losses related to investments held at fair value that were still held at March 31, 2020. For the same period of 2019, the net gains on investments included $50.6 million of net unrealized gains on investments held at fair value that were still held at March 31, 2019.</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three months ended March 31, 2020 and 2019,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three months ended March 31, 2019, certain T. Rowe Price investment products that were being accounted for as equity method investments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0"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60325</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3/31/2019</w:t>
            </w:r>
          </w:p>
        </w:tc>
      </w:tr>
      <w:tr>
        <w:trPr>
          <w:trHeight w:val="256"/>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assets of consolidated T. Rowe Price investment products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r>
      <w:tr>
        <w:trPr>
          <w:trHeight w:val="263"/>
        </w:trPr>
        <w:tc>
          <w:tcPr>
            <w:tcW w:w="8640" w:type="dxa"/>
            <w:vAlign w:val="bottom"/>
          </w:tcPr>
          <w:p>
            <w:pPr>
              <w:ind w:left="40"/>
              <w:spacing w:after="0"/>
              <w:rPr>
                <w:sz w:val="20"/>
                <w:szCs w:val="20"/>
                <w:color w:val="auto"/>
              </w:rPr>
            </w:pPr>
            <w:r>
              <w:rPr>
                <w:rFonts w:ascii="Arial" w:cs="Arial" w:eastAsia="Arial" w:hAnsi="Arial"/>
                <w:sz w:val="18"/>
                <w:szCs w:val="18"/>
                <w:color w:val="auto"/>
              </w:rPr>
              <w:t>Net decrease in liabilities of consolidated T. Rowe Price investment products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r>
      <w:tr>
        <w:trPr>
          <w:trHeight w:val="284"/>
        </w:trPr>
        <w:tc>
          <w:tcPr>
            <w:tcW w:w="8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recognized upon deconsolidation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bl>
    <w:p>
      <w:pPr>
        <w:spacing w:after="0" w:line="215"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 (loss).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4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Our investments at March 31, 2020 and December 31, 2019, include interests in variable interest entities that we do not consolidate as we are not deemed the primary beneficiary. Our maximum risk of loss related to our involvement with these entities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3/31/2020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12/31/2019</w:t>
            </w:r>
          </w:p>
        </w:tc>
      </w:tr>
      <w:tr>
        <w:trPr>
          <w:trHeight w:val="249"/>
        </w:trPr>
        <w:tc>
          <w:tcPr>
            <w:tcW w:w="864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156.0</w:t>
            </w:r>
          </w:p>
        </w:tc>
      </w:tr>
      <w:tr>
        <w:trPr>
          <w:trHeight w:val="277"/>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r>
      <w:tr>
        <w:trPr>
          <w:trHeight w:val="263"/>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w:t>
            </w:r>
          </w:p>
        </w:tc>
      </w:tr>
      <w:tr>
        <w:trPr>
          <w:trHeight w:val="250"/>
        </w:trPr>
        <w:tc>
          <w:tcPr>
            <w:tcW w:w="8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184.6</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unfunded capital commitments totaling $15.6 million and $18.1 million at March 31, 2020 and December 31, 2019, respectively, relate primarily to the investment partnerships in which we have an existing investment. In addition to such amounts, a percentage of prior distributions may be called under certain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4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240" w:hanging="728"/>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w:t>
      </w:r>
    </w:p>
    <w:p>
      <w:pPr>
        <w:ind w:left="1460"/>
        <w:spacing w:after="0"/>
        <w:rPr>
          <w:sz w:val="20"/>
          <w:szCs w:val="20"/>
          <w:color w:val="auto"/>
        </w:rPr>
      </w:pPr>
      <w:r>
        <w:rPr>
          <w:rFonts w:ascii="Arial" w:cs="Arial" w:eastAsia="Arial" w:hAnsi="Arial"/>
          <w:sz w:val="18"/>
          <w:szCs w:val="18"/>
          <w:color w:val="auto"/>
        </w:rPr>
        <w:t>obtained from independent sources.</w:t>
      </w:r>
    </w:p>
    <w:p>
      <w:pPr>
        <w:spacing w:after="0" w:line="9" w:lineRule="exact"/>
        <w:rPr>
          <w:sz w:val="20"/>
          <w:szCs w:val="20"/>
          <w:color w:val="auto"/>
        </w:rPr>
      </w:pPr>
    </w:p>
    <w:p>
      <w:pPr>
        <w:ind w:left="1460" w:right="2220" w:hanging="1457"/>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that are recognized in our unaudited condensed consolidated balance sheets using fair value measurements determined based on the differing levels of inputs. This table excludes investments held by the consolidated T. Rowe Price investment products which are presented separately on our unaudited condensed consolidated balance sheets and are detailed in Note 5.</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62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3/31/2020</w:t>
            </w:r>
          </w:p>
        </w:tc>
        <w:tc>
          <w:tcPr>
            <w:tcW w:w="8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12/31/2019</w:t>
            </w:r>
          </w:p>
        </w:tc>
        <w:tc>
          <w:tcPr>
            <w:tcW w:w="800" w:type="dxa"/>
            <w:vAlign w:val="bottom"/>
            <w:tcBorders>
              <w:bottom w:val="single" w:sz="8" w:color="auto"/>
            </w:tcBorders>
            <w:shd w:val="clear" w:color="auto" w:fill="CCEEFF"/>
          </w:tcPr>
          <w:p>
            <w:pPr>
              <w:spacing w:after="0"/>
              <w:rPr>
                <w:sz w:val="22"/>
                <w:szCs w:val="22"/>
                <w:color w:val="auto"/>
              </w:rPr>
            </w:pPr>
          </w:p>
        </w:tc>
      </w:tr>
      <w:tr>
        <w:trPr>
          <w:trHeight w:val="263"/>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Level 2</w:t>
            </w:r>
          </w:p>
        </w:tc>
      </w:tr>
      <w:tr>
        <w:trPr>
          <w:trHeight w:val="256"/>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 held in T. Rowe Price money market funds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1,164.9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1,355.6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T. Rowe Price investment products</w:t>
            </w:r>
          </w:p>
        </w:tc>
        <w:tc>
          <w:tcPr>
            <w:tcW w:w="22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1,393.0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9.9</w:t>
            </w:r>
          </w:p>
        </w:tc>
      </w:tr>
      <w:tr>
        <w:trPr>
          <w:trHeight w:val="235"/>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 designated as an economic hedge of</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savings plan liability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6"/>
        </w:trPr>
        <w:tc>
          <w:tcPr>
            <w:tcW w:w="62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2,740.6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3,309.7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As required by the accounting guidance, the fair value hierarchy levels table above does not include the investment partnerships and other investments for which fair value is estimated using their NAV per share as a practical expedient. The carrying value of these investments as disclosed in Note 3 were $105.5 million at March 31, 2020 and $99.7 million at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T. ROWE PRICE INVESTMENT PRODUCTS.</w:t>
      </w:r>
    </w:p>
    <w:p>
      <w:pPr>
        <w:spacing w:after="0" w:line="24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T. Rowe Price investment products that we consolidate in our unaudited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4"/>
                <w:szCs w:val="14"/>
                <w:b w:val="1"/>
                <w:bCs w:val="1"/>
                <w:color w:val="auto"/>
              </w:rPr>
              <w:t>12/31/2019</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175"/>
        </w:trPr>
        <w:tc>
          <w:tcPr>
            <w:tcW w:w="4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5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7"/>
                <w:szCs w:val="17"/>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56"/>
        </w:trPr>
        <w:tc>
          <w:tcPr>
            <w:tcW w:w="4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94.6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Investments</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1,641.3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1,838.6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1,891.3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2,172.4</w:t>
            </w:r>
          </w:p>
        </w:tc>
      </w:tr>
      <w:tr>
        <w:trPr>
          <w:trHeight w:val="26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r>
      <w:tr>
        <w:trPr>
          <w:trHeight w:val="250"/>
        </w:trPr>
        <w:tc>
          <w:tcPr>
            <w:tcW w:w="4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1,795.8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301.6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2,276.9</w:t>
            </w: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r>
      <w:tr>
        <w:trPr>
          <w:trHeight w:val="297"/>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1,723.8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1,941.4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1,948.3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2,237.7</w:t>
            </w:r>
          </w:p>
        </w:tc>
      </w:tr>
      <w:tr>
        <w:trPr>
          <w:trHeight w:val="304"/>
        </w:trPr>
        <w:tc>
          <w:tcPr>
            <w:tcW w:w="4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54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815.4</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970.4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917.1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1,116.7</w:t>
            </w: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908.4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971.0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1,031.2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1,121.0</w:t>
            </w:r>
          </w:p>
        </w:tc>
      </w:tr>
      <w:tr>
        <w:trPr>
          <w:trHeight w:val="250"/>
        </w:trPr>
        <w:tc>
          <w:tcPr>
            <w:tcW w:w="45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1,723.8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1,941.4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1,948.3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2,237.7</w:t>
            </w: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Cash and cash equivalents includes $22.5 million and $9.1 million at March 31, 2020, and December 31, 2019, respectively, of T. Rowe Price money market mutual funds.</w:t>
      </w:r>
    </w:p>
    <w:p>
      <w:pPr>
        <w:ind w:left="140" w:hanging="132"/>
        <w:spacing w:after="0" w:line="224"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Investments includes $35.3 million and $40.2 million at March 31, 2020, and December 31, 2019, respectively, of T. Rowe Price investment products.</w:t>
      </w:r>
    </w:p>
    <w:p>
      <w:pPr>
        <w:spacing w:after="0" w:line="2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Although we can redeem our net interest in these consolidated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operating results of the consolidated T. Rowe Price investment products for the three months ended March 31, 2020 and 2019, are reflected in our unaudited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234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65"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4251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5"/>
        </w:trPr>
        <w:tc>
          <w:tcPr>
            <w:tcW w:w="4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6"/>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4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9"/>
        </w:trPr>
        <w:tc>
          <w:tcPr>
            <w:tcW w:w="45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35"/>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(loss) reflected in non-operating</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101.9</w:t>
            </w:r>
          </w:p>
        </w:tc>
      </w:tr>
      <w:tr>
        <w:trPr>
          <w:trHeight w:val="296"/>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98.8</w:t>
            </w:r>
          </w:p>
        </w:tc>
      </w:tr>
      <w:tr>
        <w:trPr>
          <w:trHeight w:val="305"/>
        </w:trPr>
        <w:tc>
          <w:tcPr>
            <w:tcW w:w="4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520" w:type="dxa"/>
            <w:vAlign w:val="bottom"/>
          </w:tcPr>
          <w:p>
            <w:pPr>
              <w:ind w:left="20"/>
              <w:spacing w:after="0"/>
              <w:rPr>
                <w:sz w:val="20"/>
                <w:szCs w:val="20"/>
                <w:color w:val="auto"/>
              </w:rPr>
            </w:pPr>
            <w:r>
              <w:rPr>
                <w:rFonts w:ascii="Arial" w:cs="Arial" w:eastAsia="Arial" w:hAnsi="Arial"/>
                <w:sz w:val="18"/>
                <w:szCs w:val="18"/>
                <w:color w:val="auto"/>
              </w:rPr>
              <w:t>Net income (loss) 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57.4</w:t>
            </w:r>
          </w:p>
        </w:tc>
      </w:tr>
      <w:tr>
        <w:trPr>
          <w:trHeight w:val="235"/>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41.4</w:t>
            </w:r>
          </w:p>
        </w:tc>
      </w:tr>
      <w:tr>
        <w:trPr>
          <w:trHeight w:val="250"/>
        </w:trPr>
        <w:tc>
          <w:tcPr>
            <w:tcW w:w="45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98.8</w:t>
            </w: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operating expenses of the consolidated investment products are reflected in other operating expenses. In preparing our unaudited condensed consolidated financial statements, we eliminated operating expenses of $2.5 million and $1.5 million for the three months ended March 31, 2020 and 2019, respectively, against the investment advisory and administrative fees earned from these products. The net investment income (loss) reflected in non-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 w:name="page12"/>
    <w:bookmarkEnd w:id="11"/>
    <w:p>
      <w:pPr>
        <w:ind w:right="20"/>
        <w:spacing w:after="0" w:line="261" w:lineRule="auto"/>
        <w:rPr>
          <w:sz w:val="20"/>
          <w:szCs w:val="20"/>
          <w:color w:val="auto"/>
        </w:rPr>
      </w:pPr>
      <w:r>
        <w:rPr>
          <w:rFonts w:ascii="Arial" w:cs="Arial" w:eastAsia="Arial" w:hAnsi="Arial"/>
          <w:sz w:val="18"/>
          <w:szCs w:val="18"/>
          <w:color w:val="auto"/>
        </w:rPr>
        <w:t>operating income (loss) includes dividend and interest income and realized and unrealized gains and losses on the underlying securities held by the consolidated T. Rowe Price investment products.</w:t>
      </w:r>
    </w:p>
    <w:p>
      <w:pPr>
        <w:spacing w:after="0" w:line="198"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4251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3/31/2019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45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7"/>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3"/>
        </w:trPr>
        <w:tc>
          <w:tcPr>
            <w:tcW w:w="454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Pr>
          <w:p>
            <w:pPr>
              <w:spacing w:after="0"/>
              <w:rPr>
                <w:sz w:val="22"/>
                <w:szCs w:val="22"/>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equivalents of consolidated</w:t>
            </w: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 Rowe Price investment products</w:t>
            </w: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 during period</w:t>
            </w: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53"/>
        </w:trPr>
        <w:tc>
          <w:tcPr>
            <w:tcW w:w="45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net cash provided by financing activities during the three months ended March 31, 2020 and 2019 includes $42.8 million and $37.8 million, respectively, of net subscriptions we made into the consolidated T. Rowe Price investment products, net of dividends received. These cash flows were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4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60" w:hanging="728"/>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T. Rowe Price investment products using fair value measurements determined based on the differing levels of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8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3/31/2020</w:t>
            </w:r>
          </w:p>
        </w:tc>
        <w:tc>
          <w:tcPr>
            <w:tcW w:w="7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gridSpan w:val="4"/>
            <w:shd w:val="clear" w:color="auto" w:fill="CCEEFF"/>
          </w:tcPr>
          <w:p>
            <w:pPr>
              <w:jc w:val="right"/>
              <w:ind w:right="633"/>
              <w:spacing w:after="0"/>
              <w:rPr>
                <w:sz w:val="20"/>
                <w:szCs w:val="20"/>
                <w:color w:val="auto"/>
              </w:rPr>
            </w:pPr>
            <w:r>
              <w:rPr>
                <w:rFonts w:ascii="Arial" w:cs="Arial" w:eastAsia="Arial" w:hAnsi="Arial"/>
                <w:sz w:val="14"/>
                <w:szCs w:val="14"/>
                <w:b w:val="1"/>
                <w:bCs w:val="1"/>
                <w:color w:val="auto"/>
              </w:rPr>
              <w:t>12/31/2019</w:t>
            </w:r>
          </w:p>
        </w:tc>
      </w:tr>
      <w:tr>
        <w:trPr>
          <w:trHeight w:val="264"/>
        </w:trPr>
        <w:tc>
          <w:tcPr>
            <w:tcW w:w="68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Level 2</w:t>
            </w:r>
          </w:p>
        </w:tc>
      </w:tr>
      <w:tr>
        <w:trPr>
          <w:trHeight w:val="269"/>
        </w:trPr>
        <w:tc>
          <w:tcPr>
            <w:tcW w:w="6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3"/>
        </w:trPr>
        <w:tc>
          <w:tcPr>
            <w:tcW w:w="68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7"/>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724.5</w:t>
            </w:r>
          </w:p>
        </w:tc>
      </w:tr>
      <w:tr>
        <w:trPr>
          <w:trHeight w:val="263"/>
        </w:trPr>
        <w:tc>
          <w:tcPr>
            <w:tcW w:w="680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1,097.9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1,248.6</w:t>
            </w: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w:t>
            </w:r>
          </w:p>
        </w:tc>
      </w:tr>
      <w:tr>
        <w:trPr>
          <w:trHeight w:val="290"/>
        </w:trPr>
        <w:tc>
          <w:tcPr>
            <w:tcW w:w="68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2,008.0</w:t>
            </w:r>
          </w:p>
        </w:tc>
      </w:tr>
      <w:tr>
        <w:trPr>
          <w:trHeight w:val="284"/>
        </w:trPr>
        <w:tc>
          <w:tcPr>
            <w:tcW w:w="6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56"/>
        </w:trPr>
        <w:tc>
          <w:tcPr>
            <w:tcW w:w="68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 STOCKHOLDERS’ EQUITY.</w:t>
      </w:r>
    </w:p>
    <w:p>
      <w:pPr>
        <w:spacing w:after="0" w:line="24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Accounts payable and accrued expenses includes liabilities of $7.9 million at March 31, 2020, and $12.2 million at December 31, 2019, for common stock repurchases that settled during the first week of April 2020 and January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three months ended March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w w:val="99"/>
              </w:rPr>
              <w:t>exercise</w:t>
            </w:r>
          </w:p>
        </w:tc>
      </w:tr>
      <w:tr>
        <w:trPr>
          <w:trHeight w:val="196"/>
        </w:trPr>
        <w:tc>
          <w:tcPr>
            <w:tcW w:w="844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price</w:t>
            </w:r>
          </w:p>
        </w:tc>
      </w:tr>
      <w:tr>
        <w:trPr>
          <w:trHeight w:val="249"/>
        </w:trPr>
        <w:tc>
          <w:tcPr>
            <w:tcW w:w="844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7,388,068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71.06</w:t>
            </w:r>
          </w:p>
        </w:tc>
      </w:tr>
      <w:tr>
        <w:trPr>
          <w:trHeight w:val="27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(1,540,694)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67.50</w:t>
            </w:r>
          </w:p>
        </w:tc>
      </w:tr>
      <w:tr>
        <w:trPr>
          <w:trHeight w:val="26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76.00</w:t>
            </w: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5,845,946</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72.00</w:t>
            </w:r>
          </w:p>
        </w:tc>
      </w:tr>
      <w:tr>
        <w:trPr>
          <w:trHeight w:val="20"/>
        </w:trPr>
        <w:tc>
          <w:tcPr>
            <w:tcW w:w="8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Exercisable at March 31, 2020</w:t>
            </w: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5,176,419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71.50</w:t>
            </w:r>
          </w:p>
        </w:tc>
      </w:tr>
      <w:tr>
        <w:trPr>
          <w:trHeight w:val="20"/>
        </w:trPr>
        <w:tc>
          <w:tcPr>
            <w:tcW w:w="8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4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three months ended March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60"/>
              <w:spacing w:after="0"/>
              <w:rPr>
                <w:sz w:val="20"/>
                <w:szCs w:val="20"/>
                <w:color w:val="auto"/>
              </w:rPr>
            </w:pPr>
            <w:r>
              <w:rPr>
                <w:rFonts w:ascii="Arial" w:cs="Arial" w:eastAsia="Arial" w:hAnsi="Arial"/>
                <w:sz w:val="14"/>
                <w:szCs w:val="14"/>
                <w:b w:val="1"/>
                <w:bCs w:val="1"/>
                <w:color w:val="auto"/>
              </w:rPr>
              <w:t>Restricted</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average</w:t>
            </w:r>
          </w:p>
        </w:tc>
      </w:tr>
      <w:tr>
        <w:trPr>
          <w:trHeight w:val="196"/>
        </w:trPr>
        <w:tc>
          <w:tcPr>
            <w:tcW w:w="73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7320" w:type="dxa"/>
            <w:vAlign w:val="bottom"/>
          </w:tcPr>
          <w:p>
            <w:pPr>
              <w:ind w:left="40"/>
              <w:spacing w:after="0"/>
              <w:rPr>
                <w:sz w:val="20"/>
                <w:szCs w:val="20"/>
                <w:color w:val="auto"/>
              </w:rPr>
            </w:pPr>
            <w:r>
              <w:rPr>
                <w:rFonts w:ascii="Arial" w:cs="Arial" w:eastAsia="Arial" w:hAnsi="Arial"/>
                <w:sz w:val="18"/>
                <w:szCs w:val="18"/>
                <w:color w:val="auto"/>
              </w:rPr>
              <w:t>Nonvested at December 31, 2019</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7,404</w:t>
            </w:r>
          </w:p>
        </w:tc>
        <w:tc>
          <w:tcPr>
            <w:tcW w:w="1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6,718,261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98.75</w:t>
            </w:r>
          </w:p>
        </w:tc>
      </w:tr>
      <w:tr>
        <w:trPr>
          <w:trHeight w:val="27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15,184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126.33</w:t>
            </w:r>
          </w:p>
        </w:tc>
      </w:tr>
      <w:tr>
        <w:trPr>
          <w:trHeight w:val="263"/>
        </w:trPr>
        <w:tc>
          <w:tcPr>
            <w:tcW w:w="7320" w:type="dxa"/>
            <w:vAlign w:val="bottom"/>
          </w:tcPr>
          <w:p>
            <w:pPr>
              <w:ind w:left="40"/>
              <w:spacing w:after="0"/>
              <w:rPr>
                <w:sz w:val="20"/>
                <w:szCs w:val="20"/>
                <w:color w:val="auto"/>
              </w:rPr>
            </w:pPr>
            <w:r>
              <w:rPr>
                <w:rFonts w:ascii="Arial" w:cs="Arial" w:eastAsia="Arial" w:hAnsi="Arial"/>
                <w:sz w:val="18"/>
                <w:szCs w:val="18"/>
                <w:color w:val="auto"/>
              </w:rPr>
              <w:t>Dividend equivalents granted to non-employee directors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643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98.80</w:t>
            </w:r>
          </w:p>
        </w:tc>
      </w:tr>
      <w:tr>
        <w:trPr>
          <w:trHeight w:val="277"/>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95.26</w:t>
            </w:r>
          </w:p>
        </w:tc>
      </w:tr>
      <w:tr>
        <w:trPr>
          <w:trHeight w:val="263"/>
        </w:trPr>
        <w:tc>
          <w:tcPr>
            <w:tcW w:w="7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(34,004)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97.30</w:t>
            </w:r>
          </w:p>
        </w:tc>
      </w:tr>
      <w:tr>
        <w:trPr>
          <w:trHeight w:val="25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2020</w:t>
            </w:r>
          </w:p>
        </w:tc>
        <w:tc>
          <w:tcPr>
            <w:tcW w:w="1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7,404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6,637,585</w:t>
            </w:r>
          </w:p>
        </w:tc>
        <w:tc>
          <w:tcPr>
            <w:tcW w:w="3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98.85</w:t>
            </w:r>
          </w:p>
        </w:tc>
      </w:tr>
      <w:tr>
        <w:trPr>
          <w:trHeight w:val="20"/>
        </w:trPr>
        <w:tc>
          <w:tcPr>
            <w:tcW w:w="7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Nonvested at March 31, 2020, includes 403,008 performance-based restricted stock units, including 318,768 restricted stock units for which the performance period has expired, and the performance threshold has been met.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4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March 31, 2020.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000" w:type="dxa"/>
            <w:vAlign w:val="bottom"/>
          </w:tcPr>
          <w:p>
            <w:pPr>
              <w:ind w:left="40"/>
              <w:spacing w:after="0"/>
              <w:rPr>
                <w:sz w:val="20"/>
                <w:szCs w:val="20"/>
                <w:color w:val="auto"/>
              </w:rPr>
            </w:pPr>
            <w:r>
              <w:rPr>
                <w:rFonts w:ascii="Arial" w:cs="Arial" w:eastAsia="Arial" w:hAnsi="Arial"/>
                <w:sz w:val="18"/>
                <w:szCs w:val="18"/>
                <w:color w:val="auto"/>
              </w:rPr>
              <w:t>Second quarter 2020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54.5</w:t>
            </w:r>
          </w:p>
        </w:tc>
      </w:tr>
      <w:tr>
        <w:trPr>
          <w:trHeight w:val="263"/>
        </w:trPr>
        <w:tc>
          <w:tcPr>
            <w:tcW w:w="10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 2020</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r>
      <w:tr>
        <w:trPr>
          <w:trHeight w:val="250"/>
        </w:trPr>
        <w:tc>
          <w:tcPr>
            <w:tcW w:w="10000" w:type="dxa"/>
            <w:vAlign w:val="bottom"/>
          </w:tcPr>
          <w:p>
            <w:pPr>
              <w:ind w:left="40"/>
              <w:spacing w:after="0"/>
              <w:rPr>
                <w:sz w:val="20"/>
                <w:szCs w:val="20"/>
                <w:color w:val="auto"/>
              </w:rPr>
            </w:pPr>
            <w:r>
              <w:rPr>
                <w:rFonts w:ascii="Arial" w:cs="Arial" w:eastAsia="Arial" w:hAnsi="Arial"/>
                <w:sz w:val="18"/>
                <w:szCs w:val="18"/>
                <w:color w:val="auto"/>
              </w:rPr>
              <w:t>Fourth quarter 2020</w:t>
            </w: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63"/>
        </w:trPr>
        <w:tc>
          <w:tcPr>
            <w:tcW w:w="10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50"/>
        </w:trPr>
        <w:tc>
          <w:tcPr>
            <w:tcW w:w="10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2022 through 2026</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90.0</w:t>
            </w:r>
          </w:p>
        </w:tc>
      </w:tr>
      <w:tr>
        <w:trPr>
          <w:trHeight w:val="256"/>
        </w:trPr>
        <w:tc>
          <w:tcPr>
            <w:tcW w:w="10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352.0</w:t>
            </w:r>
          </w:p>
        </w:tc>
      </w:tr>
      <w:tr>
        <w:trPr>
          <w:trHeight w:val="20"/>
        </w:trPr>
        <w:tc>
          <w:tcPr>
            <w:tcW w:w="10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stock options had an anti-dilutive impact on the diluted earnings per common share calculation in the periods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gridSpan w:val="4"/>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r>
      <w:tr>
        <w:trPr>
          <w:trHeight w:val="247"/>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3/31/2019</w:t>
            </w:r>
          </w:p>
        </w:tc>
      </w:tr>
      <w:tr>
        <w:trPr>
          <w:trHeight w:val="256"/>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512.6</w:t>
            </w:r>
          </w:p>
        </w:tc>
      </w:tr>
      <w:tr>
        <w:trPr>
          <w:trHeight w:val="263"/>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13.0</w:t>
            </w:r>
          </w:p>
        </w:tc>
      </w:tr>
      <w:tr>
        <w:trPr>
          <w:trHeight w:val="257"/>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499.6</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5"/>
        </w:trPr>
        <w:tc>
          <w:tcPr>
            <w:tcW w:w="8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97"/>
        </w:trPr>
        <w:tc>
          <w:tcPr>
            <w:tcW w:w="8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236.6</w:t>
            </w:r>
          </w:p>
        </w:tc>
      </w:tr>
      <w:tr>
        <w:trPr>
          <w:trHeight w:val="237"/>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239.6</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0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three months ended March 31, 2020 and 2019 are presented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700" w:type="dxa"/>
            <w:vAlign w:val="bottom"/>
            <w:tcBorders>
              <w:bottom w:val="single" w:sz="8" w:color="auto"/>
            </w:tcBorders>
            <w:gridSpan w:val="7"/>
            <w:shd w:val="clear" w:color="auto" w:fill="CCEEFF"/>
          </w:tcPr>
          <w:p>
            <w:pPr>
              <w:jc w:val="center"/>
              <w:ind w:right="42"/>
              <w:spacing w:after="0"/>
              <w:rPr>
                <w:sz w:val="20"/>
                <w:szCs w:val="20"/>
                <w:color w:val="auto"/>
              </w:rPr>
            </w:pPr>
            <w:r>
              <w:rPr>
                <w:rFonts w:ascii="Arial" w:cs="Arial" w:eastAsia="Arial" w:hAnsi="Arial"/>
                <w:sz w:val="14"/>
                <w:szCs w:val="14"/>
                <w:b w:val="1"/>
                <w:bCs w:val="1"/>
                <w:color w:val="auto"/>
              </w:rPr>
              <w:t>Three months ended 3/31/2020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660" w:type="dxa"/>
            <w:vAlign w:val="bottom"/>
            <w:tcBorders>
              <w:bottom w:val="single" w:sz="8" w:color="auto"/>
            </w:tcBorders>
            <w:gridSpan w:val="7"/>
            <w:shd w:val="clear" w:color="auto" w:fill="CCEEFF"/>
          </w:tcPr>
          <w:p>
            <w:pPr>
              <w:jc w:val="right"/>
              <w:ind w:right="762"/>
              <w:spacing w:after="0"/>
              <w:rPr>
                <w:sz w:val="20"/>
                <w:szCs w:val="20"/>
                <w:color w:val="auto"/>
              </w:rPr>
            </w:pPr>
            <w:r>
              <w:rPr>
                <w:rFonts w:ascii="Arial" w:cs="Arial" w:eastAsia="Arial" w:hAnsi="Arial"/>
                <w:sz w:val="14"/>
                <w:szCs w:val="14"/>
                <w:b w:val="1"/>
                <w:bCs w:val="1"/>
                <w:color w:val="auto"/>
              </w:rPr>
              <w:t>Three months ended 3/31/2019</w:t>
            </w:r>
          </w:p>
        </w:tc>
      </w:tr>
      <w:tr>
        <w:trPr>
          <w:trHeight w:val="250"/>
        </w:trPr>
        <w:tc>
          <w:tcPr>
            <w:tcW w:w="3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rPr>
              <w:t>Currency translation adjustments</w:t>
            </w:r>
          </w:p>
        </w:tc>
        <w:tc>
          <w:tcPr>
            <w:tcW w:w="140" w:type="dxa"/>
            <w:vAlign w:val="bottom"/>
          </w:tcPr>
          <w:p>
            <w:pPr>
              <w:spacing w:after="0"/>
              <w:rPr>
                <w:sz w:val="21"/>
                <w:szCs w:val="21"/>
                <w:color w:val="auto"/>
              </w:rPr>
            </w:pPr>
          </w:p>
        </w:tc>
        <w:tc>
          <w:tcPr>
            <w:tcW w:w="3660" w:type="dxa"/>
            <w:vAlign w:val="bottom"/>
            <w:gridSpan w:val="7"/>
          </w:tcPr>
          <w:p>
            <w:pPr>
              <w:jc w:val="right"/>
              <w:ind w:right="662"/>
              <w:spacing w:after="0"/>
              <w:rPr>
                <w:sz w:val="20"/>
                <w:szCs w:val="20"/>
                <w:color w:val="auto"/>
              </w:rPr>
            </w:pPr>
            <w:r>
              <w:rPr>
                <w:rFonts w:ascii="Arial" w:cs="Arial" w:eastAsia="Arial" w:hAnsi="Arial"/>
                <w:sz w:val="14"/>
                <w:szCs w:val="14"/>
                <w:b w:val="1"/>
                <w:bCs w:val="1"/>
                <w:color w:val="auto"/>
              </w:rPr>
              <w:t>Currency translation adjustments</w:t>
            </w:r>
          </w:p>
        </w:tc>
      </w:tr>
      <w:tr>
        <w:trPr>
          <w:trHeight w:val="175"/>
        </w:trPr>
        <w:tc>
          <w:tcPr>
            <w:tcW w:w="3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62"/>
        </w:trPr>
        <w:tc>
          <w:tcPr>
            <w:tcW w:w="3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Rowe Price</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2"/>
        </w:trPr>
        <w:tc>
          <w:tcPr>
            <w:tcW w:w="3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2"/>
        </w:trPr>
        <w:tc>
          <w:tcPr>
            <w:tcW w:w="3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products -</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products -</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right="42"/>
              <w:spacing w:after="0"/>
              <w:rPr>
                <w:sz w:val="20"/>
                <w:szCs w:val="20"/>
                <w:color w:val="auto"/>
              </w:rPr>
            </w:pPr>
            <w:r>
              <w:rPr>
                <w:rFonts w:ascii="Arial" w:cs="Arial" w:eastAsia="Arial" w:hAnsi="Arial"/>
                <w:sz w:val="14"/>
                <w:szCs w:val="14"/>
                <w:b w:val="1"/>
                <w:bCs w:val="1"/>
                <w:color w:val="auto"/>
              </w:rPr>
              <w:t>Total currency</w:t>
            </w:r>
          </w:p>
        </w:tc>
      </w:tr>
      <w:tr>
        <w:trPr>
          <w:trHeight w:val="162"/>
        </w:trPr>
        <w:tc>
          <w:tcPr>
            <w:tcW w:w="350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3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variable interest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translation</w:t>
            </w:r>
          </w:p>
        </w:tc>
        <w:tc>
          <w:tcPr>
            <w:tcW w:w="12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3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right="42"/>
              <w:spacing w:after="0"/>
              <w:rPr>
                <w:sz w:val="20"/>
                <w:szCs w:val="20"/>
                <w:color w:val="auto"/>
              </w:rPr>
            </w:pPr>
            <w:r>
              <w:rPr>
                <w:rFonts w:ascii="Arial" w:cs="Arial" w:eastAsia="Arial" w:hAnsi="Arial"/>
                <w:sz w:val="14"/>
                <w:szCs w:val="14"/>
                <w:b w:val="1"/>
                <w:bCs w:val="1"/>
                <w:color w:val="auto"/>
              </w:rPr>
              <w:t>translation</w:t>
            </w:r>
          </w:p>
        </w:tc>
      </w:tr>
      <w:tr>
        <w:trPr>
          <w:trHeight w:val="196"/>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62"/>
              <w:spacing w:after="0"/>
              <w:rPr>
                <w:sz w:val="20"/>
                <w:szCs w:val="20"/>
                <w:color w:val="auto"/>
              </w:rPr>
            </w:pPr>
            <w:r>
              <w:rPr>
                <w:rFonts w:ascii="Arial" w:cs="Arial" w:eastAsia="Arial" w:hAnsi="Arial"/>
                <w:sz w:val="14"/>
                <w:szCs w:val="14"/>
                <w:b w:val="1"/>
                <w:bCs w:val="1"/>
                <w:color w:val="auto"/>
              </w:rPr>
              <w:t>adjustments</w:t>
            </w:r>
          </w:p>
        </w:tc>
      </w:tr>
      <w:tr>
        <w:trPr>
          <w:trHeight w:val="25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w:t>
            </w:r>
          </w:p>
        </w:tc>
      </w:tr>
      <w:tr>
        <w:trPr>
          <w:trHeight w:val="204"/>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4"/>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r>
      <w:tr>
        <w:trPr>
          <w:trHeight w:val="218"/>
        </w:trPr>
        <w:tc>
          <w:tcPr>
            <w:tcW w:w="3500" w:type="dxa"/>
            <w:vAlign w:val="bottom"/>
          </w:tcPr>
          <w:p>
            <w:pPr>
              <w:ind w:left="40"/>
              <w:spacing w:after="0"/>
              <w:rPr>
                <w:sz w:val="20"/>
                <w:szCs w:val="20"/>
                <w:color w:val="auto"/>
              </w:rPr>
            </w:pPr>
            <w:r>
              <w:rPr>
                <w:rFonts w:ascii="Arial" w:cs="Arial" w:eastAsia="Arial" w:hAnsi="Arial"/>
                <w:sz w:val="16"/>
                <w:szCs w:val="16"/>
                <w:color w:val="auto"/>
              </w:rPr>
              <w:t>Reclassification adjustments recognized in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8"/>
        </w:trPr>
        <w:tc>
          <w:tcPr>
            <w:tcW w:w="3500" w:type="dxa"/>
            <w:vAlign w:val="bottom"/>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35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r>
      <w:tr>
        <w:trPr>
          <w:trHeight w:val="263"/>
        </w:trPr>
        <w:tc>
          <w:tcPr>
            <w:tcW w:w="3500" w:type="dxa"/>
            <w:vAlign w:val="bottom"/>
          </w:tcPr>
          <w:p>
            <w:pPr>
              <w:ind w:left="4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w:t>
            </w:r>
          </w:p>
        </w:tc>
      </w:tr>
      <w:tr>
        <w:trPr>
          <w:trHeight w:val="25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r>
      <w:tr>
        <w:trPr>
          <w:trHeight w:val="240"/>
        </w:trPr>
        <w:tc>
          <w:tcPr>
            <w:tcW w:w="3500" w:type="dxa"/>
            <w:vAlign w:val="bottom"/>
          </w:tcPr>
          <w:p>
            <w:pPr>
              <w:ind w:left="4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The other comprehensive income (loss) in the table above excludes $17.2 million and $1.3 million of other comprehensive loss related to redeemable non-controlling interests held in our consolidated products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This matter is in the expert discovery phase of litigation and we cannot predict the eventual outcome, or whether it will have a material negative impact on our financial results, or estimate the possible loss or range of loss that may arise from any negative outcome.</w:t>
      </w:r>
    </w:p>
    <w:p>
      <w:pPr>
        <w:spacing w:after="0" w:line="205"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w:t>
      </w:r>
    </w:p>
    <w:p>
      <w:pPr>
        <w:spacing w:after="0" w:line="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8"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March 31, 2020, the related condensed consolidated statements of income, comprehensive income, stockholders’ equity, and cash flows for the three-month periods ended March 31, 2020 and 2019,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2019, and the related consolidated statements of income, comprehensive income, stockholders’ equity, and cash flows for the year then ended (not presented herein); and in our report dated February 13, 2020, we expressed an unqualified opinion on those consolidated financial statements. In our opinion, the information set forth in the accompanying condensed consolidated balance sheet as of December 31, 2019, is fairly stated, in all material respects, in relation to the consolidated balance sheet from which it has been derived.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and other T. Rowe Price products. The other T. Rowe Price products include: collective investment trusts, open-ended investment products offered to investors outside the U.S., and products offered through variable annuity life insurance plans in the U.S.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Additionally, approximately 30% of our operating expenses are impacted by fluctuations in our assets under management.</w:t>
      </w:r>
    </w:p>
    <w:p>
      <w:pPr>
        <w:spacing w:after="0" w:line="2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technologies, and new product offerings; and, most importantly, we provide our clients with strong investment management expertise and service both now and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U.S. stocks plunged in the later part of the first quarter of 2020. After starting the year on a strong note, equities fell as a coronavirus outbreak that originated in China in late 2019 rapidly spread to other countries and was deemed a global pandemic. The sell-off intensified in March, as the coronavirus spread rapidly in the U.S., prompting government officials to close schools, nonessential businesses, and public facilities. The Federal Reserve took drastic actions to increase financial market liquidity and support the flow of credit to consumers and businesses. Stocks did pare some losses in the final days of the quarter as the Trump administration and Congress passed into law a massive economic stimulus bill.</w:t>
      </w:r>
    </w:p>
    <w:p>
      <w:pPr>
        <w:spacing w:after="0" w:line="208"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Stocks in developed non-U.S. equity markets declined broadly; returns for U.S. investors were hurt by a stronger U.S. dollar versus many other currencies. In Asia, Australian shares fell more than 33%, while equities in Japan and Hong Kong declined roughly 17%. In Europe, equity markets in Spain and Italy, where the coronavirus outbreak has been severe, fell roughly 30% and 29%, respectively.</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Stocks in emerging equity markets declined slightly more than developed markets. In emerging Europe markets, Russian shares fell more than 36% amid plunging oil prices following OPEC heavyweight Saudi Arabia’s decision to increase production and offer discounts to global customers. Emerging Asian markets were negative, though Chinese shares held up best with losses of roughly 10%. China’s lockdown efforts started to ease late in the first quarter, which helped equities recover partially from earlier losses. In Latin America, all major markets posted losses of at least 30%.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Returns of several major equity market indexes for the first quarter of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202"/>
        </w:trPr>
        <w:tc>
          <w:tcPr>
            <w:tcW w:w="9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ended</w:t>
            </w:r>
          </w:p>
        </w:tc>
      </w:tr>
      <w:tr>
        <w:trPr>
          <w:trHeight w:val="264"/>
        </w:trPr>
        <w:tc>
          <w:tcPr>
            <w:tcW w:w="9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3/31/2020</w:t>
            </w:r>
          </w:p>
        </w:tc>
      </w:tr>
      <w:tr>
        <w:trPr>
          <w:trHeight w:val="256"/>
        </w:trPr>
        <w:tc>
          <w:tcPr>
            <w:tcW w:w="9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(19.6)%</w:t>
            </w:r>
          </w:p>
        </w:tc>
      </w:tr>
      <w:tr>
        <w:trPr>
          <w:trHeight w:val="270"/>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NASDAQ Composite Index</w:t>
            </w:r>
            <w:r>
              <w:rPr>
                <w:rFonts w:ascii="Arial" w:cs="Arial" w:eastAsia="Arial" w:hAnsi="Arial"/>
                <w:sz w:val="21"/>
                <w:szCs w:val="21"/>
                <w:color w:val="auto"/>
                <w:vertAlign w:val="superscript"/>
              </w:rPr>
              <w:t>(1)</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(14.2)%</w:t>
            </w:r>
          </w:p>
        </w:tc>
      </w:tr>
      <w:tr>
        <w:trPr>
          <w:trHeight w:val="270"/>
        </w:trPr>
        <w:tc>
          <w:tcPr>
            <w:tcW w:w="9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(30.6)%</w:t>
            </w:r>
          </w:p>
        </w:tc>
      </w:tr>
      <w:tr>
        <w:trPr>
          <w:trHeight w:val="257"/>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(22.7)%</w:t>
            </w:r>
          </w:p>
        </w:tc>
      </w:tr>
      <w:tr>
        <w:trPr>
          <w:trHeight w:val="270"/>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MSCI Emerging Markets Index</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hanging="132"/>
        <w:spacing w:after="0"/>
        <w:tabs>
          <w:tab w:leader="none" w:pos="18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i w:val="1"/>
          <w:iCs w:val="1"/>
          <w:color w:val="auto"/>
        </w:rPr>
        <w:t>Returns exclude dividends</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Global bond returns were largely negative in U.S. dollar terms. In the U.S. investment-grade universe, Treasuries surged as the Federal Reserve slashed short-term interest rates to near 0%, announced massive purchases of U.S. government bonds and other securities, and rolled out a variety of programs and “facilities” intended to boost market liquidity and the flow of credit. The 10-year Treasury note yield decreased from 1.92% at the end of 2019 to 0.70% at the end of March. Mortgage-backed securities significantly lagged Treasuries amid substantial mortgage refinancing activity. Asset-backed securities posted slightly negative returns, while corporate bonds declined in anticipation of weaker corporate profits and a recession. Municipal bonds underperformed taxable bonds. High yield bonds posted significant losses as the yield difference between higher- and lower-quality bonds widened dramatically.</w:t>
      </w:r>
    </w:p>
    <w:p>
      <w:pPr>
        <w:spacing w:after="0" w:line="2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Bonds in developed non-U.S. countries produced negative returns in U.S. dollar terms. Bond prices climbed as longer-term interest rates in many countries declined, but most major currencies fell versus the dollar, reducing returns to U.S. investors. Most developed market governments unveiled fiscal stimulus measures, while most central banks responded with significant monetary easing programs.</w:t>
      </w:r>
    </w:p>
    <w:p>
      <w:pPr>
        <w:spacing w:after="0" w:line="20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Emerging markets bonds were broadly negative. U.S. dollar-denominated emerging markets bonds slightly outperformed local currency bonds amid broad dollar strength. Most developing market currencies declined during the quarter.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first quarter of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202"/>
        </w:trPr>
        <w:tc>
          <w:tcPr>
            <w:tcW w:w="9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ended</w:t>
            </w:r>
          </w:p>
        </w:tc>
      </w:tr>
      <w:tr>
        <w:trPr>
          <w:trHeight w:val="264"/>
        </w:trPr>
        <w:tc>
          <w:tcPr>
            <w:tcW w:w="9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3/31/2020</w:t>
            </w:r>
          </w:p>
        </w:tc>
      </w:tr>
      <w:tr>
        <w:trPr>
          <w:trHeight w:val="256"/>
        </w:trPr>
        <w:tc>
          <w:tcPr>
            <w:tcW w:w="9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w:t>
            </w:r>
          </w:p>
        </w:tc>
      </w:tr>
      <w:tr>
        <w:trPr>
          <w:trHeight w:val="263"/>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(14.9)%</w:t>
            </w:r>
          </w:p>
        </w:tc>
      </w:tr>
      <w:tr>
        <w:trPr>
          <w:trHeight w:val="277"/>
        </w:trPr>
        <w:tc>
          <w:tcPr>
            <w:tcW w:w="9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(.6)%</w:t>
            </w:r>
          </w:p>
        </w:tc>
      </w:tr>
      <w:tr>
        <w:trPr>
          <w:trHeight w:val="263"/>
        </w:trPr>
        <w:tc>
          <w:tcPr>
            <w:tcW w:w="978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460" w:type="dxa"/>
            <w:vAlign w:val="bottom"/>
          </w:tcPr>
          <w:p>
            <w:pPr>
              <w:jc w:val="center"/>
              <w:spacing w:after="0"/>
              <w:rPr>
                <w:sz w:val="20"/>
                <w:szCs w:val="20"/>
                <w:color w:val="auto"/>
              </w:rPr>
            </w:pPr>
            <w:r>
              <w:rPr>
                <w:rFonts w:ascii="Arial" w:cs="Arial" w:eastAsia="Arial" w:hAnsi="Arial"/>
                <w:sz w:val="18"/>
                <w:szCs w:val="18"/>
                <w:color w:val="auto"/>
              </w:rPr>
              <w:t>(2.7)%</w:t>
            </w:r>
          </w:p>
        </w:tc>
      </w:tr>
      <w:tr>
        <w:trPr>
          <w:trHeight w:val="277"/>
        </w:trPr>
        <w:tc>
          <w:tcPr>
            <w:tcW w:w="9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Assets under management ended the first quarter of 2020 at $1,008.8 billion, a decrease of $198.0 billion from December 31, 2019. Net cash outflows were $ 6.0 billion, and clients transferred $4.4 billion in net assets from the U.S. mutual funds to other investment products, of which $4.3 billion was transferred to retirement date trusts. Market depreciation and losses, net of dividends not reinvested, reduced our assets under management by $192.0 billion in the first quarter of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changes in our assets under management, by vehicle and asset class during the first quarter of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640" w:type="dxa"/>
            <w:vAlign w:val="bottom"/>
            <w:tcBorders>
              <w:bottom w:val="single" w:sz="8" w:color="auto"/>
            </w:tcBorders>
            <w:gridSpan w:val="8"/>
            <w:shd w:val="clear" w:color="auto" w:fill="CCEEFF"/>
          </w:tcPr>
          <w:p>
            <w:pPr>
              <w:ind w:left="80"/>
              <w:spacing w:after="0"/>
              <w:rPr>
                <w:sz w:val="20"/>
                <w:szCs w:val="20"/>
                <w:color w:val="auto"/>
              </w:rPr>
            </w:pPr>
            <w:r>
              <w:rPr>
                <w:rFonts w:ascii="Arial" w:cs="Arial" w:eastAsia="Arial" w:hAnsi="Arial"/>
                <w:sz w:val="14"/>
                <w:szCs w:val="14"/>
                <w:b w:val="1"/>
                <w:bCs w:val="1"/>
                <w:color w:val="auto"/>
              </w:rPr>
              <w:t>Three months ended 3/31/2020</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175"/>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Subadvised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billions)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U.S. mutual funds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separate accounts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products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49"/>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under management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682.7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313.8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210.3</w:t>
            </w:r>
          </w:p>
        </w:tc>
        <w:tc>
          <w:tcPr>
            <w:tcW w:w="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1,206.8</w:t>
            </w:r>
          </w:p>
        </w:tc>
      </w:tr>
      <w:tr>
        <w:trPr>
          <w:trHeight w:val="176"/>
        </w:trPr>
        <w:tc>
          <w:tcPr>
            <w:tcW w:w="5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 transfers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7"/>
              </w:rPr>
              <w:t>(7.5)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Client transfers</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w w:val="97"/>
              </w:rPr>
              <w:t>(4.4)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after client transfers</w:t>
            </w:r>
          </w:p>
        </w:tc>
        <w:tc>
          <w:tcPr>
            <w:tcW w:w="120" w:type="dxa"/>
            <w:vAlign w:val="bottom"/>
            <w:shd w:val="clear" w:color="auto" w:fill="CCEEFF"/>
          </w:tcPr>
          <w:p>
            <w:pPr>
              <w:spacing w:after="0"/>
              <w:rPr>
                <w:sz w:val="22"/>
                <w:szCs w:val="22"/>
                <w:color w:val="auto"/>
              </w:rPr>
            </w:pP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Net market appreciation (depreciation) and income</w:t>
            </w:r>
          </w:p>
        </w:tc>
        <w:tc>
          <w:tcPr>
            <w:tcW w:w="120" w:type="dxa"/>
            <w:vAlign w:val="bottom"/>
          </w:tcPr>
          <w:p>
            <w:pPr>
              <w:spacing w:after="0"/>
              <w:rPr>
                <w:sz w:val="22"/>
                <w:szCs w:val="22"/>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(49.2)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(34.3)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(191.9)</w:t>
            </w:r>
          </w:p>
        </w:tc>
      </w:tr>
      <w:tr>
        <w:trPr>
          <w:trHeight w:val="27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distributions reinvested (not reinvested)</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(120.4)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(52.7)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(24.9)</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w:t>
            </w:r>
          </w:p>
        </w:tc>
      </w:tr>
      <w:tr>
        <w:trPr>
          <w:trHeight w:val="175"/>
        </w:trPr>
        <w:tc>
          <w:tcPr>
            <w:tcW w:w="5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54"/>
        </w:trPr>
        <w:tc>
          <w:tcPr>
            <w:tcW w:w="5520" w:type="dxa"/>
            <w:vAlign w:val="bottom"/>
          </w:tcPr>
          <w:p>
            <w:pPr>
              <w:ind w:left="40"/>
              <w:spacing w:after="0"/>
              <w:rPr>
                <w:sz w:val="20"/>
                <w:szCs w:val="20"/>
                <w:color w:val="auto"/>
              </w:rPr>
            </w:pPr>
            <w:r>
              <w:rPr>
                <w:rFonts w:ascii="Arial" w:cs="Arial" w:eastAsia="Arial" w:hAnsi="Arial"/>
                <w:sz w:val="16"/>
                <w:szCs w:val="16"/>
                <w:color w:val="auto"/>
              </w:rPr>
              <w:t>Assets under management at March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562.3</w:t>
            </w:r>
          </w:p>
        </w:tc>
        <w:tc>
          <w:tcPr>
            <w:tcW w:w="100" w:type="dxa"/>
            <w:vAlign w:val="bottom"/>
          </w:tcPr>
          <w:p>
            <w:pPr>
              <w:spacing w:after="0"/>
              <w:rPr>
                <w:sz w:val="22"/>
                <w:szCs w:val="22"/>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261.1</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185.4</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1,008.8</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34"/>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4"/>
        </w:trPr>
        <w:tc>
          <w:tcPr>
            <w:tcW w:w="55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640" w:type="dxa"/>
            <w:vAlign w:val="bottom"/>
            <w:tcBorders>
              <w:bottom w:val="single" w:sz="8" w:color="auto"/>
            </w:tcBorders>
            <w:gridSpan w:val="8"/>
            <w:shd w:val="clear" w:color="auto" w:fill="CCEEFF"/>
          </w:tcPr>
          <w:p>
            <w:pPr>
              <w:ind w:left="80"/>
              <w:spacing w:after="0"/>
              <w:rPr>
                <w:sz w:val="20"/>
                <w:szCs w:val="20"/>
                <w:color w:val="auto"/>
              </w:rPr>
            </w:pPr>
            <w:r>
              <w:rPr>
                <w:rFonts w:ascii="Arial" w:cs="Arial" w:eastAsia="Arial" w:hAnsi="Arial"/>
                <w:sz w:val="14"/>
                <w:szCs w:val="14"/>
                <w:b w:val="1"/>
                <w:bCs w:val="1"/>
                <w:color w:val="auto"/>
              </w:rPr>
              <w:t>Three months ended 3/31/2020</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175"/>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Fixed income,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including money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2"/>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billions)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Equity</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market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under management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698.9</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1,206.8</w:t>
            </w:r>
          </w:p>
        </w:tc>
      </w:tr>
      <w:tr>
        <w:trPr>
          <w:trHeight w:val="175"/>
        </w:trPr>
        <w:tc>
          <w:tcPr>
            <w:tcW w:w="5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70"/>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market appreciation (depreciation) and income</w:t>
            </w:r>
            <w:r>
              <w:rPr>
                <w:rFonts w:ascii="Arial" w:cs="Arial" w:eastAsia="Arial" w:hAnsi="Arial"/>
                <w:sz w:val="21"/>
                <w:szCs w:val="2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w:t>
            </w: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during the period</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Assets under management at March 31, 2020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569.3</w:t>
            </w:r>
          </w:p>
        </w:tc>
        <w:tc>
          <w:tcPr>
            <w:tcW w:w="4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146.3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293.2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1,008.8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3810</wp:posOffset>
            </wp:positionV>
            <wp:extent cx="363474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34740" cy="25400"/>
                    </a:xfrm>
                    <a:prstGeom prst="rect">
                      <a:avLst/>
                    </a:prstGeom>
                    <a:noFill/>
                  </pic:spPr>
                </pic:pic>
              </a:graphicData>
            </a:graphic>
          </wp:anchor>
        </w:drawing>
      </w:r>
    </w:p>
    <w:p>
      <w:pPr>
        <w:spacing w:after="0" w:line="17" w:lineRule="exact"/>
        <w:rPr>
          <w:sz w:val="20"/>
          <w:szCs w:val="20"/>
          <w:color w:val="auto"/>
        </w:rPr>
      </w:pPr>
    </w:p>
    <w:p>
      <w:pPr>
        <w:ind w:left="180" w:right="160" w:hanging="172"/>
        <w:spacing w:after="0"/>
        <w:tabs>
          <w:tab w:leader="none" w:pos="153" w:val="left"/>
        </w:tabs>
        <w:numPr>
          <w:ilvl w:val="0"/>
          <w:numId w:val="6"/>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142" w:lineRule="exact"/>
        <w:rPr>
          <w:rFonts w:ascii="Arial" w:cs="Arial" w:eastAsia="Arial" w:hAnsi="Arial"/>
          <w:sz w:val="17"/>
          <w:szCs w:val="17"/>
          <w:i w:val="1"/>
          <w:iCs w:val="1"/>
          <w:color w:val="auto"/>
          <w:vertAlign w:val="superscript"/>
        </w:rPr>
      </w:pPr>
    </w:p>
    <w:p>
      <w:pPr>
        <w:ind w:left="160" w:hanging="152"/>
        <w:spacing w:after="0" w:line="199" w:lineRule="auto"/>
        <w:tabs>
          <w:tab w:leader="none" w:pos="16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distributions reinvested and not reinvested.</w:t>
      </w:r>
    </w:p>
    <w:p>
      <w:pPr>
        <w:spacing w:after="0" w:line="14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Investment advisory clients outside the U.S. account for about 7.4% of our assets under management at March 31, 2020 and 6.9% at December 31, 2019.</w:t>
      </w:r>
    </w:p>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gridSpan w:val="3"/>
            <w:shd w:val="clear" w:color="auto" w:fill="CCEEFF"/>
          </w:tcPr>
          <w:p>
            <w:pPr>
              <w:jc w:val="right"/>
              <w:ind w:right="79"/>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billions)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12/31/2019</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U.S. mutual funds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164.8</w:t>
            </w:r>
          </w:p>
        </w:tc>
      </w:tr>
      <w:tr>
        <w:trPr>
          <w:trHeight w:val="263"/>
        </w:trPr>
        <w:tc>
          <w:tcPr>
            <w:tcW w:w="7980" w:type="dxa"/>
            <w:vAlign w:val="bottom"/>
          </w:tcPr>
          <w:p>
            <w:pPr>
              <w:ind w:left="40"/>
              <w:spacing w:after="0"/>
              <w:rPr>
                <w:sz w:val="20"/>
                <w:szCs w:val="20"/>
                <w:color w:val="auto"/>
              </w:rPr>
            </w:pPr>
            <w:r>
              <w:rPr>
                <w:rFonts w:ascii="Arial" w:cs="Arial" w:eastAsia="Arial" w:hAnsi="Arial"/>
                <w:sz w:val="18"/>
                <w:szCs w:val="18"/>
                <w:color w:val="auto"/>
              </w:rPr>
              <w:t>Target date separately managed retirement accounts</w:t>
            </w:r>
          </w:p>
        </w:tc>
        <w:tc>
          <w:tcPr>
            <w:tcW w:w="30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8.4</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trusts</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103.1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119.2</w:t>
            </w:r>
          </w:p>
        </w:tc>
      </w:tr>
      <w:tr>
        <w:trPr>
          <w:trHeight w:val="236"/>
        </w:trPr>
        <w:tc>
          <w:tcPr>
            <w:tcW w:w="798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292.4</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Net cash inflows into our target date retirement products were $.7 billion in the first quarter of 2020. A redemption in a risk-managed strategy from a large institutional investor was the primary driver of the multi-asset outflows during the first quarter of 2020.</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p>
    <w:p>
      <w:pPr>
        <w:spacing w:after="0" w:line="247"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percentage of our U.S. mutual funds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March 31, 2020,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4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1 year</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63"/>
        </w:trPr>
        <w:tc>
          <w:tcPr>
            <w:tcW w:w="3740" w:type="dxa"/>
            <w:vAlign w:val="bottom"/>
          </w:tcPr>
          <w:p>
            <w:pPr>
              <w:ind w:left="40"/>
              <w:spacing w:after="0"/>
              <w:rPr>
                <w:sz w:val="20"/>
                <w:szCs w:val="20"/>
                <w:color w:val="auto"/>
              </w:rPr>
            </w:pPr>
            <w:r>
              <w:rPr>
                <w:rFonts w:ascii="Arial" w:cs="Arial" w:eastAsia="Arial" w:hAnsi="Arial"/>
                <w:sz w:val="16"/>
                <w:szCs w:val="16"/>
                <w:color w:val="auto"/>
              </w:rPr>
              <w:t>Outperformed Morningstar median</w:t>
            </w:r>
            <w:r>
              <w:rPr>
                <w:rFonts w:ascii="Arial" w:cs="Arial" w:eastAsia="Arial" w:hAnsi="Arial"/>
                <w:sz w:val="21"/>
                <w:szCs w:val="21"/>
                <w:color w:val="auto"/>
                <w:vertAlign w:val="superscript"/>
              </w:rPr>
              <w:t>(2)</w:t>
            </w:r>
          </w:p>
        </w:tc>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70"/>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r>
      <w:tr>
        <w:trPr>
          <w:trHeight w:val="260"/>
        </w:trPr>
        <w:tc>
          <w:tcPr>
            <w:tcW w:w="374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780" w:type="dxa"/>
            <w:vAlign w:val="bottom"/>
          </w:tcPr>
          <w:p>
            <w:pPr>
              <w:jc w:val="center"/>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84%</w:t>
            </w:r>
          </w:p>
        </w:tc>
      </w:tr>
      <w:tr>
        <w:trPr>
          <w:trHeight w:val="172"/>
        </w:trPr>
        <w:tc>
          <w:tcPr>
            <w:tcW w:w="37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6"/>
                <w:szCs w:val="16"/>
                <w:color w:val="auto"/>
              </w:rPr>
              <w:t>Top Morningstar quartile</w:t>
            </w:r>
            <w:r>
              <w:rPr>
                <w:rFonts w:ascii="Arial" w:cs="Arial" w:eastAsia="Arial" w:hAnsi="Arial"/>
                <w:sz w:val="21"/>
                <w:szCs w:val="21"/>
                <w:color w:val="auto"/>
                <w:vertAlign w:val="superscript"/>
              </w:rPr>
              <w:t>(2)</w:t>
            </w: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28%</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r>
      <w:tr>
        <w:trPr>
          <w:trHeight w:val="251"/>
        </w:trPr>
        <w:tc>
          <w:tcPr>
            <w:tcW w:w="374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24%</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68%</w:t>
            </w:r>
          </w:p>
        </w:tc>
      </w:tr>
    </w:tbl>
    <w:p>
      <w:pPr>
        <w:spacing w:after="0" w:line="2" w:lineRule="exact"/>
        <w:rPr>
          <w:sz w:val="20"/>
          <w:szCs w:val="20"/>
          <w:color w:val="auto"/>
        </w:rPr>
      </w:pPr>
    </w:p>
    <w:p>
      <w:pPr>
        <w:ind w:left="160" w:hanging="152"/>
        <w:spacing w:after="0"/>
        <w:tabs>
          <w:tab w:leader="none" w:pos="160" w:val="left"/>
        </w:tabs>
        <w:numPr>
          <w:ilvl w:val="0"/>
          <w:numId w:val="7"/>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11" w:lineRule="exact"/>
        <w:rPr>
          <w:rFonts w:ascii="Arial" w:cs="Arial" w:eastAsia="Arial" w:hAnsi="Arial"/>
          <w:sz w:val="9"/>
          <w:szCs w:val="9"/>
          <w:i w:val="1"/>
          <w:iCs w:val="1"/>
          <w:color w:val="auto"/>
        </w:rPr>
      </w:pPr>
    </w:p>
    <w:p>
      <w:pPr>
        <w:jc w:val="both"/>
        <w:ind w:left="180" w:right="40" w:hanging="172"/>
        <w:spacing w:after="0"/>
        <w:tabs>
          <w:tab w:leader="none" w:pos="153" w:val="left"/>
        </w:tabs>
        <w:numPr>
          <w:ilvl w:val="0"/>
          <w:numId w:val="7"/>
        </w:numPr>
        <w:rPr>
          <w:rFonts w:ascii="Arial" w:cs="Arial" w:eastAsia="Arial" w:hAnsi="Arial"/>
          <w:sz w:val="9"/>
          <w:szCs w:val="9"/>
          <w:i w:val="1"/>
          <w:iCs w:val="1"/>
          <w:color w:val="auto"/>
        </w:rPr>
      </w:pPr>
      <w:r>
        <w:rPr>
          <w:rFonts w:ascii="Arial" w:cs="Arial" w:eastAsia="Arial" w:hAnsi="Arial"/>
          <w:sz w:val="13"/>
          <w:szCs w:val="13"/>
          <w:i w:val="1"/>
          <w:iCs w:val="1"/>
          <w:color w:val="auto"/>
        </w:rPr>
        <w:t>Source: © 2020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218"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In addition, 76% of assets under management in our rated U.S. mutual funds (across primary share classes) ended the quarter with an overall rating of four or five stars from Morningstar. The performance of our institutional strategies against their benchmarks remains competitive, especially over longer time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months ended March 31, 2020 and 2019 on a U.S. GAAP basis as well as a non-GAAP basis. The non-GAAP basis adjusts for the impact of our consolidated T. Rowe Price investment products, the impact of market movements on the supplemental savings plan liability and related economic hedges, investment income related to certain other investments, and certain nonrecurring charges and gains.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3040" w:type="dxa"/>
            <w:vAlign w:val="bottom"/>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shd w:val="clear" w:color="auto" w:fill="CCEEFF"/>
          </w:tcPr>
          <w:p>
            <w:pPr>
              <w:spacing w:after="0"/>
              <w:rPr>
                <w:sz w:val="22"/>
                <w:szCs w:val="22"/>
                <w:color w:val="auto"/>
              </w:rPr>
            </w:pPr>
          </w:p>
        </w:tc>
        <w:tc>
          <w:tcPr>
            <w:tcW w:w="3060" w:type="dxa"/>
            <w:vAlign w:val="bottom"/>
            <w:gridSpan w:val="3"/>
            <w:shd w:val="clear" w:color="auto" w:fill="CCEEFF"/>
          </w:tcPr>
          <w:p>
            <w:pPr>
              <w:jc w:val="right"/>
              <w:ind w:right="900"/>
              <w:spacing w:after="0"/>
              <w:rPr>
                <w:sz w:val="20"/>
                <w:szCs w:val="20"/>
                <w:color w:val="auto"/>
              </w:rPr>
            </w:pPr>
            <w:r>
              <w:rPr>
                <w:rFonts w:ascii="Arial" w:cs="Arial" w:eastAsia="Arial" w:hAnsi="Arial"/>
                <w:sz w:val="14"/>
                <w:szCs w:val="14"/>
                <w:b w:val="1"/>
                <w:bCs w:val="1"/>
                <w:color w:val="auto"/>
              </w:rPr>
              <w:t>Q1 2020 vs. Q1 2019</w:t>
            </w:r>
          </w:p>
        </w:tc>
      </w:tr>
      <w:tr>
        <w:trPr>
          <w:trHeight w:val="263"/>
        </w:trPr>
        <w:tc>
          <w:tcPr>
            <w:tcW w:w="40" w:type="dxa"/>
            <w:vAlign w:val="bottom"/>
          </w:tcPr>
          <w:p>
            <w:pPr>
              <w:spacing w:after="0"/>
              <w:rPr>
                <w:sz w:val="22"/>
                <w:szCs w:val="22"/>
                <w:color w:val="auto"/>
              </w:rPr>
            </w:pPr>
          </w:p>
        </w:tc>
        <w:tc>
          <w:tcPr>
            <w:tcW w:w="450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3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3/31/2019</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80" w:type="dxa"/>
            <w:vAlign w:val="bottom"/>
            <w:tcBorders>
              <w:top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 change</w:t>
            </w:r>
          </w:p>
        </w:tc>
      </w:tr>
      <w:tr>
        <w:trPr>
          <w:trHeight w:val="215"/>
        </w:trPr>
        <w:tc>
          <w:tcPr>
            <w:tcW w:w="4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U.S. GAAP basis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r>
      <w:tr>
        <w:trPr>
          <w:trHeight w:val="260"/>
        </w:trPr>
        <w:tc>
          <w:tcPr>
            <w:tcW w:w="40" w:type="dxa"/>
            <w:vAlign w:val="bottom"/>
          </w:tcPr>
          <w:p>
            <w:pPr>
              <w:spacing w:after="0"/>
              <w:rPr>
                <w:sz w:val="22"/>
                <w:szCs w:val="22"/>
                <w:color w:val="auto"/>
              </w:rPr>
            </w:pPr>
          </w:p>
        </w:tc>
        <w:tc>
          <w:tcPr>
            <w:tcW w:w="450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1,327.8</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1,194.2</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133.6</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11.2 %</w:t>
            </w:r>
          </w:p>
        </w:tc>
      </w:tr>
      <w:tr>
        <w:trPr>
          <w:trHeight w:val="280"/>
        </w:trPr>
        <w:tc>
          <w:tcPr>
            <w:tcW w:w="40" w:type="dxa"/>
            <w:vAlign w:val="bottom"/>
            <w:shd w:val="clear" w:color="auto" w:fill="CCEEFF"/>
          </w:tcPr>
          <w:p>
            <w:pPr>
              <w:spacing w:after="0"/>
              <w:rPr>
                <w:sz w:val="24"/>
                <w:szCs w:val="24"/>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1,462.6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135.3</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60"/>
        </w:trPr>
        <w:tc>
          <w:tcPr>
            <w:tcW w:w="40" w:type="dxa"/>
            <w:vAlign w:val="bottom"/>
          </w:tcPr>
          <w:p>
            <w:pPr>
              <w:spacing w:after="0"/>
              <w:rPr>
                <w:sz w:val="22"/>
                <w:szCs w:val="22"/>
                <w:color w:val="auto"/>
              </w:rPr>
            </w:pPr>
          </w:p>
        </w:tc>
        <w:tc>
          <w:tcPr>
            <w:tcW w:w="4500" w:type="dxa"/>
            <w:vAlign w:val="bottom"/>
            <w:gridSpan w:val="4"/>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755.4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794.8</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80"/>
        </w:trPr>
        <w:tc>
          <w:tcPr>
            <w:tcW w:w="40" w:type="dxa"/>
            <w:vAlign w:val="bottom"/>
            <w:shd w:val="clear" w:color="auto" w:fill="CCEEFF"/>
          </w:tcPr>
          <w:p>
            <w:pPr>
              <w:spacing w:after="0"/>
              <w:rPr>
                <w:sz w:val="24"/>
                <w:szCs w:val="24"/>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174.7</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32.8 %</w:t>
            </w:r>
          </w:p>
        </w:tc>
      </w:tr>
      <w:tr>
        <w:trPr>
          <w:trHeight w:val="270"/>
        </w:trPr>
        <w:tc>
          <w:tcPr>
            <w:tcW w:w="40" w:type="dxa"/>
            <w:vAlign w:val="bottom"/>
          </w:tcPr>
          <w:p>
            <w:pPr>
              <w:spacing w:after="0"/>
              <w:rPr>
                <w:sz w:val="23"/>
                <w:szCs w:val="23"/>
                <w:color w:val="auto"/>
              </w:rPr>
            </w:pPr>
          </w:p>
        </w:tc>
        <w:tc>
          <w:tcPr>
            <w:tcW w:w="4500" w:type="dxa"/>
            <w:vAlign w:val="bottom"/>
            <w:gridSpan w:val="4"/>
          </w:tcPr>
          <w:p>
            <w:pPr>
              <w:spacing w:after="0"/>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(500.3)</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(703.1)</w:t>
            </w:r>
          </w:p>
        </w:tc>
        <w:tc>
          <w:tcPr>
            <w:tcW w:w="120" w:type="dxa"/>
            <w:vAlign w:val="bottom"/>
          </w:tcPr>
          <w:p>
            <w:pPr>
              <w:spacing w:after="0"/>
              <w:rPr>
                <w:sz w:val="23"/>
                <w:szCs w:val="23"/>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n/m</w:t>
            </w:r>
          </w:p>
        </w:tc>
      </w:tr>
      <w:tr>
        <w:trPr>
          <w:trHeight w:val="270"/>
        </w:trPr>
        <w:tc>
          <w:tcPr>
            <w:tcW w:w="40" w:type="dxa"/>
            <w:vAlign w:val="bottom"/>
            <w:shd w:val="clear" w:color="auto" w:fill="CCEEFF"/>
          </w:tcPr>
          <w:p>
            <w:pPr>
              <w:spacing w:after="0"/>
              <w:rPr>
                <w:sz w:val="23"/>
                <w:szCs w:val="23"/>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attributable to T. Rowe Price Group</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343.1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512.6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60"/>
        </w:trPr>
        <w:tc>
          <w:tcPr>
            <w:tcW w:w="40" w:type="dxa"/>
            <w:vAlign w:val="bottom"/>
          </w:tcPr>
          <w:p>
            <w:pPr>
              <w:spacing w:after="0"/>
              <w:rPr>
                <w:sz w:val="22"/>
                <w:szCs w:val="22"/>
                <w:color w:val="auto"/>
              </w:rPr>
            </w:pPr>
          </w:p>
        </w:tc>
        <w:tc>
          <w:tcPr>
            <w:tcW w:w="4500" w:type="dxa"/>
            <w:vAlign w:val="bottom"/>
            <w:gridSpan w:val="4"/>
          </w:tcPr>
          <w:p>
            <w:pPr>
              <w:spacing w:after="0"/>
              <w:rPr>
                <w:sz w:val="20"/>
                <w:szCs w:val="20"/>
                <w:color w:val="auto"/>
              </w:rPr>
            </w:pPr>
            <w:r>
              <w:rPr>
                <w:rFonts w:ascii="Arial" w:cs="Arial" w:eastAsia="Arial" w:hAnsi="Arial"/>
                <w:sz w:val="16"/>
                <w:szCs w:val="16"/>
                <w:color w:val="auto"/>
              </w:rPr>
              <w:t>Diluted earnings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28"/>
        </w:trPr>
        <w:tc>
          <w:tcPr>
            <w:tcW w:w="40" w:type="dxa"/>
            <w:vAlign w:val="bottom"/>
            <w:shd w:val="clear" w:color="auto" w:fill="CCEEFF"/>
          </w:tcPr>
          <w:p>
            <w:pPr>
              <w:spacing w:after="0"/>
              <w:rPr>
                <w:sz w:val="19"/>
                <w:szCs w:val="19"/>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Weighted average common shares outstanding assuming</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4"/>
        </w:trPr>
        <w:tc>
          <w:tcPr>
            <w:tcW w:w="40" w:type="dxa"/>
            <w:vAlign w:val="bottom"/>
            <w:shd w:val="clear" w:color="auto" w:fill="CCEEFF"/>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dilution</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35"/>
        </w:trPr>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250"/>
        </w:trPr>
        <w:tc>
          <w:tcPr>
            <w:tcW w:w="40" w:type="dxa"/>
            <w:vAlign w:val="bottom"/>
            <w:shd w:val="clear" w:color="auto" w:fill="CCEEFF"/>
          </w:tcPr>
          <w:p>
            <w:pPr>
              <w:spacing w:after="0"/>
              <w:rPr>
                <w:sz w:val="21"/>
                <w:szCs w:val="21"/>
                <w:color w:val="auto"/>
              </w:rPr>
            </w:pPr>
          </w:p>
        </w:tc>
        <w:tc>
          <w:tcPr>
            <w:tcW w:w="4500" w:type="dxa"/>
            <w:vAlign w:val="bottom"/>
            <w:gridSpan w:val="4"/>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Adjusted non-GAAP basis</w:t>
            </w:r>
            <w:r>
              <w:rPr>
                <w:rFonts w:ascii="Arial" w:cs="Arial" w:eastAsia="Arial" w:hAnsi="Arial"/>
                <w:sz w:val="21"/>
                <w:szCs w:val="21"/>
                <w:b w:val="1"/>
                <w:bCs w:val="1"/>
                <w:color w:val="auto"/>
                <w:vertAlign w:val="superscript"/>
              </w:rPr>
              <w:t>(2)</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60"/>
        </w:trPr>
        <w:tc>
          <w:tcPr>
            <w:tcW w:w="40" w:type="dxa"/>
            <w:vAlign w:val="bottom"/>
            <w:tcBorders>
              <w:top w:val="single" w:sz="8" w:color="CCEEFF"/>
            </w:tcBorders>
          </w:tcPr>
          <w:p>
            <w:pPr>
              <w:spacing w:after="0"/>
              <w:rPr>
                <w:sz w:val="22"/>
                <w:szCs w:val="22"/>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Operating expenses</w:t>
            </w:r>
          </w:p>
        </w:tc>
        <w:tc>
          <w:tcPr>
            <w:tcW w:w="2480" w:type="dxa"/>
            <w:vAlign w:val="bottom"/>
            <w:tcBorders>
              <w:top w:val="single" w:sz="8" w:color="CCEEFF"/>
            </w:tcBorders>
            <w:gridSpan w:val="2"/>
          </w:tcPr>
          <w:p>
            <w:pPr>
              <w:spacing w:after="0"/>
              <w:rPr>
                <w:sz w:val="22"/>
                <w:szCs w:val="22"/>
                <w:color w:val="auto"/>
              </w:rPr>
            </w:pPr>
          </w:p>
        </w:tc>
        <w:tc>
          <w:tcPr>
            <w:tcW w:w="300" w:type="dxa"/>
            <w:vAlign w:val="bottom"/>
            <w:tcBorders>
              <w:top w:val="single" w:sz="8" w:color="CCEEFF"/>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rPr>
              <w:t>817.9</w:t>
            </w:r>
          </w:p>
        </w:tc>
        <w:tc>
          <w:tcPr>
            <w:tcW w:w="10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rPr>
              <w:t>756.6</w:t>
            </w:r>
          </w:p>
        </w:tc>
        <w:tc>
          <w:tcPr>
            <w:tcW w:w="10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61.3</w:t>
            </w:r>
          </w:p>
        </w:tc>
        <w:tc>
          <w:tcPr>
            <w:tcW w:w="120" w:type="dxa"/>
            <w:vAlign w:val="bottom"/>
            <w:tcBorders>
              <w:top w:val="single" w:sz="8" w:color="CCEEFF"/>
            </w:tcBorders>
          </w:tcPr>
          <w:p>
            <w:pPr>
              <w:spacing w:after="0"/>
              <w:rPr>
                <w:sz w:val="22"/>
                <w:szCs w:val="22"/>
                <w:color w:val="auto"/>
              </w:rPr>
            </w:pPr>
          </w:p>
        </w:tc>
        <w:tc>
          <w:tcPr>
            <w:tcW w:w="16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8.1 %</w:t>
            </w:r>
          </w:p>
        </w:tc>
      </w:tr>
      <w:tr>
        <w:trPr>
          <w:trHeight w:val="280"/>
        </w:trPr>
        <w:tc>
          <w:tcPr>
            <w:tcW w:w="40" w:type="dxa"/>
            <w:vAlign w:val="bottom"/>
            <w:shd w:val="clear" w:color="auto" w:fill="CCEEFF"/>
          </w:tcPr>
          <w:p>
            <w:pPr>
              <w:spacing w:after="0"/>
              <w:rPr>
                <w:sz w:val="24"/>
                <w:szCs w:val="24"/>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70"/>
        </w:trPr>
        <w:tc>
          <w:tcPr>
            <w:tcW w:w="40" w:type="dxa"/>
            <w:vAlign w:val="bottom"/>
          </w:tcPr>
          <w:p>
            <w:pPr>
              <w:spacing w:after="0"/>
              <w:rPr>
                <w:sz w:val="23"/>
                <w:szCs w:val="23"/>
                <w:color w:val="auto"/>
              </w:rPr>
            </w:pPr>
          </w:p>
        </w:tc>
        <w:tc>
          <w:tcPr>
            <w:tcW w:w="4500" w:type="dxa"/>
            <w:vAlign w:val="bottom"/>
            <w:gridSpan w:val="4"/>
          </w:tcPr>
          <w:p>
            <w:pPr>
              <w:spacing w:after="0"/>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23"/>
                <w:szCs w:val="23"/>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n/m</w:t>
            </w:r>
          </w:p>
        </w:tc>
      </w:tr>
      <w:tr>
        <w:trPr>
          <w:trHeight w:val="270"/>
        </w:trPr>
        <w:tc>
          <w:tcPr>
            <w:tcW w:w="40" w:type="dxa"/>
            <w:vAlign w:val="bottom"/>
            <w:shd w:val="clear" w:color="auto" w:fill="CCEEFF"/>
          </w:tcPr>
          <w:p>
            <w:pPr>
              <w:spacing w:after="0"/>
              <w:rPr>
                <w:sz w:val="23"/>
                <w:szCs w:val="23"/>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attributable to T. Rowe Price Group</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454.3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460.6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60"/>
        </w:trPr>
        <w:tc>
          <w:tcPr>
            <w:tcW w:w="40" w:type="dxa"/>
            <w:vAlign w:val="bottom"/>
          </w:tcPr>
          <w:p>
            <w:pPr>
              <w:spacing w:after="0"/>
              <w:rPr>
                <w:sz w:val="22"/>
                <w:szCs w:val="22"/>
                <w:color w:val="auto"/>
              </w:rPr>
            </w:pPr>
          </w:p>
        </w:tc>
        <w:tc>
          <w:tcPr>
            <w:tcW w:w="4500" w:type="dxa"/>
            <w:vAlign w:val="bottom"/>
            <w:gridSpan w:val="4"/>
          </w:tcPr>
          <w:p>
            <w:pPr>
              <w:spacing w:after="0"/>
              <w:rPr>
                <w:sz w:val="20"/>
                <w:szCs w:val="20"/>
                <w:color w:val="auto"/>
              </w:rPr>
            </w:pPr>
            <w:r>
              <w:rPr>
                <w:rFonts w:ascii="Arial" w:cs="Arial" w:eastAsia="Arial" w:hAnsi="Arial"/>
                <w:sz w:val="16"/>
                <w:szCs w:val="16"/>
                <w:color w:val="auto"/>
              </w:rPr>
              <w:t>Diluted earnings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145"/>
        </w:trPr>
        <w:tc>
          <w:tcPr>
            <w:tcW w:w="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216"/>
        </w:trPr>
        <w:tc>
          <w:tcPr>
            <w:tcW w:w="4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6"/>
                <w:szCs w:val="16"/>
                <w:b w:val="1"/>
                <w:bCs w:val="1"/>
                <w:color w:val="auto"/>
              </w:rPr>
              <w:t>Assets under management (in billions)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Average assets under management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119.2</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50"/>
        </w:trPr>
        <w:tc>
          <w:tcPr>
            <w:tcW w:w="40" w:type="dxa"/>
            <w:vAlign w:val="bottom"/>
          </w:tcPr>
          <w:p>
            <w:pPr>
              <w:spacing w:after="0"/>
              <w:rPr>
                <w:sz w:val="21"/>
                <w:szCs w:val="21"/>
                <w:color w:val="auto"/>
              </w:rPr>
            </w:pPr>
          </w:p>
        </w:tc>
        <w:tc>
          <w:tcPr>
            <w:tcW w:w="4500" w:type="dxa"/>
            <w:vAlign w:val="bottom"/>
            <w:gridSpan w:val="4"/>
          </w:tcPr>
          <w:p>
            <w:pPr>
              <w:spacing w:after="0"/>
              <w:rPr>
                <w:sz w:val="20"/>
                <w:szCs w:val="20"/>
                <w:color w:val="auto"/>
              </w:rPr>
            </w:pPr>
            <w:r>
              <w:rPr>
                <w:rFonts w:ascii="Arial" w:cs="Arial" w:eastAsia="Arial" w:hAnsi="Arial"/>
                <w:sz w:val="16"/>
                <w:szCs w:val="16"/>
                <w:color w:val="auto"/>
              </w:rPr>
              <w:t>Ending assets under management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1,008.8</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1,081.7</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(6.7)%</w:t>
            </w:r>
          </w:p>
        </w:tc>
      </w:tr>
    </w:tbl>
    <w:p>
      <w:pPr>
        <w:spacing w:after="0" w:line="2"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(loss) is not meaningful (n/m).</w:t>
      </w:r>
    </w:p>
    <w:p>
      <w:pPr>
        <w:ind w:left="140" w:hanging="132"/>
        <w:spacing w:after="0" w:line="224" w:lineRule="auto"/>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 of this Management’s Discussion and Analysis.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Results Overview</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u w:val="single" w:color="auto"/>
          <w:color w:val="auto"/>
        </w:rPr>
        <w:t>Investment advisory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advisory fees are earned based on the value and composition of our assets under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Investment advisory revenues earned in the first quarter of 2020 increased over the comparable 2019 quarter as average assets under our management increased $119.2 billion, or 11.4%, to $1,162.7 billion. The average annualized effective fee rate earned during the first quarter of 2020 was 45.9 basis points, compared with 46.4 basis points earned during the first quarter of 2019. The decline in our effective fee rate for the first quarter of 2020 compared to the same period in 2019 was primarily due to client transfers within the complex from higher fee vehicles to lower fee vehicles over the last twelve months.</w:t>
      </w:r>
    </w:p>
    <w:p>
      <w:pPr>
        <w:spacing w:after="0" w:line="13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were $755.4 million in the first quarter of 2020 compared with $794.8 million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decrease in operating expenses for the first quarter of 2020 was primarily due to a change in market-related compensation expense of $100.3 million related to the supplemental savings plan. Partially offsetting this decrease were higher salary and benefits, interim bonus accrual, stock-based compensation expense and the continued strategic investments in the first quarter of 2020 compared to the first quarter of 2019. For the first quarter of 2020, the compensation expense related to the supplemental savings plan is more than offset by the non-operating losses incurred on the investments used to economically hedge the related liability.</w:t>
      </w:r>
    </w:p>
    <w:p>
      <w:pPr>
        <w:spacing w:after="0" w:line="20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a non-GAAP basis, our operating expenses in the first quarter of 2020 increased 8.1% to $817.9 million compared to the first quarter of 2019. Our non-GAAP operating expenses do not include the impact of our supplemental savings plan and consolidated sponsored investment products. See our non-GAAP reconciliations later in this Management’s Discussion and Analysis section.</w:t>
      </w:r>
    </w:p>
    <w:p>
      <w:pPr>
        <w:spacing w:after="0" w:line="20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Given the market environment, we updated our 2020 non-GAAP operating expense growth range guidance from a range of 6%-9% to a range of 1%-4%. We expect certain expense categories, such as travel- and AUM-related, to be naturally impacted more than others. Most importantly, we will continue to make investments in our critical strategic initiatives to promote long-term growth in the business. We could elect to further adjust our expense growth should unforeseen circumstances arise, including significant market movements and ongoing disruption resulting from the coronavirus pandemic.</w:t>
      </w:r>
    </w:p>
    <w:p>
      <w:pPr>
        <w:spacing w:after="0" w:line="18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in the first quarter of 2020 was 48.4%, compared to 40.1% earned in the 2019 quarter.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operating margin for the three months ended March 31, 2020 compared to the 2019 period is primarily driven by the lower compensation expense related to our supplemental savings plan as markets in the first quarter of 2020 underperformed the same period in 2019.</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was $1.41 for the three months ended March 31, 2020 and $2.09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The 32.5% decrease was primarily driven by significant losses incurred on our investment portfolio in the three months ended March 31, 2020 as compared to gains generated in the three months ended March 31, 2019. This decrease in diluted earnings per share was partially offset by higher operating income and a lower effective tax rate.</w:t>
      </w:r>
    </w:p>
    <w:p>
      <w:pPr>
        <w:spacing w:after="0" w:line="1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a non-GAAP basis, diluted earnings per share was $1.87 for both the three months ended March 31, 2020 and 2019. For the three months ended March 31, 2020, higher operating income, lower shares outstanding, and a lower effective tax rate were completely offset by non-operating losses. See our non-GAAP reconciliations later in this Management’s Discussion and Analysis section.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60" w:type="dxa"/>
            <w:vAlign w:val="bottom"/>
            <w:gridSpan w:val="5"/>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86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b w:val="1"/>
                <w:bCs w:val="1"/>
                <w:color w:val="auto"/>
              </w:rPr>
              <w:t>Q1 2020 vs. Q1 2019</w:t>
            </w:r>
          </w:p>
        </w:tc>
      </w:tr>
      <w:tr>
        <w:trPr>
          <w:trHeight w:val="264"/>
        </w:trPr>
        <w:tc>
          <w:tcPr>
            <w:tcW w:w="49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3/31/2019</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change</w:t>
            </w:r>
          </w:p>
        </w:tc>
      </w:tr>
      <w:tr>
        <w:trPr>
          <w:trHeight w:val="269"/>
        </w:trPr>
        <w:tc>
          <w:tcPr>
            <w:tcW w:w="4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advisory fees</w:t>
            </w:r>
          </w:p>
        </w:tc>
        <w:tc>
          <w:tcPr>
            <w:tcW w:w="2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r>
      <w:tr>
        <w:trPr>
          <w:trHeight w:val="260"/>
        </w:trPr>
        <w:tc>
          <w:tcPr>
            <w:tcW w:w="4980" w:type="dxa"/>
            <w:vAlign w:val="bottom"/>
          </w:tcPr>
          <w:p>
            <w:pPr>
              <w:ind w:left="180"/>
              <w:spacing w:after="0"/>
              <w:rPr>
                <w:sz w:val="20"/>
                <w:szCs w:val="20"/>
                <w:color w:val="auto"/>
              </w:rPr>
            </w:pPr>
            <w:r>
              <w:rPr>
                <w:rFonts w:ascii="Arial" w:cs="Arial" w:eastAsia="Arial" w:hAnsi="Arial"/>
                <w:sz w:val="16"/>
                <w:szCs w:val="16"/>
                <w:color w:val="auto"/>
              </w:rPr>
              <w:t>U.S. mutual funds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876.2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815.9</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273"/>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Subadvised and separate accounts and other investment products</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451.6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378.3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19.4 %</w:t>
            </w:r>
          </w:p>
        </w:tc>
      </w:tr>
      <w:tr>
        <w:trPr>
          <w:trHeight w:val="250"/>
        </w:trPr>
        <w:tc>
          <w:tcPr>
            <w:tcW w:w="49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1,327.8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1,194.2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133.6</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Administrative, distribution, and servicing fees</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4980" w:type="dxa"/>
            <w:vAlign w:val="bottom"/>
          </w:tcPr>
          <w:p>
            <w:pPr>
              <w:ind w:left="180"/>
              <w:spacing w:after="0"/>
              <w:rPr>
                <w:sz w:val="20"/>
                <w:szCs w:val="20"/>
                <w:color w:val="auto"/>
              </w:rPr>
            </w:pPr>
            <w:r>
              <w:rPr>
                <w:rFonts w:ascii="Arial" w:cs="Arial" w:eastAsia="Arial" w:hAnsi="Arial"/>
                <w:sz w:val="16"/>
                <w:szCs w:val="16"/>
                <w:color w:val="auto"/>
              </w:rPr>
              <w:t>Administrative fees</w:t>
            </w:r>
          </w:p>
        </w:tc>
        <w:tc>
          <w:tcPr>
            <w:tcW w:w="2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73"/>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and servicing fees</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50"/>
        </w:trPr>
        <w:tc>
          <w:tcPr>
            <w:tcW w:w="49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133.1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r>
      <w:tr>
        <w:trPr>
          <w:trHeight w:val="24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1,462.6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1,327.3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135.3</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mutual funds</w:t>
      </w:r>
    </w:p>
    <w:p>
      <w:pPr>
        <w:spacing w:after="0" w:line="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Investment advisory revenues earned in the first quarter of 2020 from our U.S. mutual funds were $876.2 million, an increase of 7.4% from the comparable 2019 quarter. Average assets under management in these funds for the first quarter of 2020 increased 7.2% from the 2019 quarter to $654.3 billion.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Subadvised and separate accounts and other investment products</w:t>
      </w:r>
    </w:p>
    <w:p>
      <w:pPr>
        <w:spacing w:after="0" w:line="9"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Investment advisory revenues earned in the first quarter of 2020 from subadvised and separate accounts and other investment products were $451.6 million, an increase of 19.4% from the comparable 2019 quarter. Average assets under management for these products increased 17.3% from the 2019 quarter to $508.4 billion.</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Since the first quarter of 2019, the inflows into the Japanese ITMs, which have a higher than average fee rate, have caused investment advisory fees to increase at a rate greater than the increase in average assets under management for our subadvised and separate accounts and other products.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and servicing fees in the first quarter of 2020 were $134.8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$1.7 million, or 1.3%, from the comparable 2019 quarter. In this line, we recognize fees earned from providing administrative and distribution services to our investment advisory clients, primarily our U.S. mutual funds and their investors. The increase was primarily due to increased transfer agent servicing activities and higher recordkeeping fees, partially offset by lower 12b-1 revenue earned on certain share classes, including the Advisor and R classes, of the U.S. mutual funds. The decline in 12b-1 revenue is attributable primarily to a reduction in assets under management as client transferred assets to lower fee vehicles and share classes. The decline in 12b-1 revenue is offset entirely by a reduction in the costs paid to third-party intermediaries that source these assets and reported in distribution and servicing expense.</w:t>
      </w:r>
    </w:p>
    <w:p>
      <w:pPr>
        <w:spacing w:after="0" w:line="2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first quarter net revenues reflect the elimination of $2.5 million in 2020 and $ 1.5 million in 2019, of revenue earned from our consolidated T. Rowe Price investment products. The corresponding expenses recognized by these products, and consolidated in our financial statements, were eliminated from operating expenses.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860" w:type="dxa"/>
            <w:vAlign w:val="bottom"/>
            <w:gridSpan w:val="5"/>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860" w:type="dxa"/>
            <w:vAlign w:val="bottom"/>
            <w:gridSpan w:val="3"/>
            <w:shd w:val="clear" w:color="auto" w:fill="CCEEFF"/>
          </w:tcPr>
          <w:p>
            <w:pPr>
              <w:jc w:val="right"/>
              <w:ind w:right="780"/>
              <w:spacing w:after="0"/>
              <w:rPr>
                <w:sz w:val="20"/>
                <w:szCs w:val="20"/>
                <w:color w:val="auto"/>
              </w:rPr>
            </w:pPr>
            <w:r>
              <w:rPr>
                <w:rFonts w:ascii="Arial" w:cs="Arial" w:eastAsia="Arial" w:hAnsi="Arial"/>
                <w:sz w:val="14"/>
                <w:szCs w:val="14"/>
                <w:b w:val="1"/>
                <w:bCs w:val="1"/>
                <w:color w:val="auto"/>
              </w:rPr>
              <w:t>Q1 2020 vs. Q1 2019</w:t>
            </w:r>
          </w:p>
        </w:tc>
      </w:tr>
      <w:tr>
        <w:trPr>
          <w:trHeight w:val="263"/>
        </w:trPr>
        <w:tc>
          <w:tcPr>
            <w:tcW w:w="49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3/31/2019</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change</w:t>
            </w:r>
          </w:p>
        </w:tc>
      </w:tr>
      <w:tr>
        <w:trPr>
          <w:trHeight w:val="256"/>
        </w:trPr>
        <w:tc>
          <w:tcPr>
            <w:tcW w:w="4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related costs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440.7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491.5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Distribution and servicing</w:t>
            </w:r>
          </w:p>
        </w:tc>
        <w:tc>
          <w:tcPr>
            <w:tcW w:w="2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and promotion</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15.3 %</w:t>
            </w: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Product-related costs</w:t>
            </w:r>
          </w:p>
        </w:tc>
        <w:tc>
          <w:tcPr>
            <w:tcW w:w="260" w:type="dxa"/>
            <w:vAlign w:val="bottom"/>
          </w:tcPr>
          <w:p>
            <w:pPr>
              <w:spacing w:after="0"/>
              <w:rPr>
                <w:sz w:val="22"/>
                <w:szCs w:val="22"/>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occupancy, and facility costs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63"/>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administrative, and other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5.6 %</w:t>
            </w:r>
          </w:p>
        </w:tc>
      </w:tr>
      <w:tr>
        <w:trPr>
          <w:trHeight w:val="24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755.4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Compensation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related costs were $440.7 million in the first quarter of 2020, a decrease of $50.8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10.3%, compared to the 2019 quarter. The decrease was primarily due to a change in market-related expense of $ 100.3 million related to our supplemental savings plan as falling markets in the first quarter of 2020 reduced the liability and $4.7 million of higher labor capitalization related to internally developed software. These decreases in compensation and related costs were offset in part by increases in base salary, employee benefits and related employee costs of $22.6 million, primarily as a result of a 5.3% increase in our average staff size and, to a lesser extent, the modest increases in base salaries at the beginning of 2020. Our interim accrual for annual variable compensation, primarily bonus compensation, also increased $16.1 million from the 2019 quarter and non-cash stock-based compensation expense increased by $14.8 million. We recognize the interim bonus accrual ratably over the year using the ratio of recognized quarterly net revenues to currently forecasted annual net revenues.</w:t>
      </w:r>
    </w:p>
    <w:p>
      <w:pPr>
        <w:spacing w:after="0" w:line="18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u w:val="single" w:color="auto"/>
          <w:color w:val="auto"/>
        </w:rPr>
        <w:t>Distribution and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servicing includes those costs incurred to distribute T. Rowe Price products as well as client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servicing, recordkeeping, and administrative services. These costs were $65.7 million for the first quarter of 2020, a decrease of 1.1% from the $66.4 million recognized in the 2019 quarter. The decrease for the period is primarily driven by lower assets under management in those mutual funds for which we pay distribution and servicing costs as clients transferred assets to lower fee vehicles or share classes over the last twelve months. The decreases in costs related to these products were partially offset by higher distribution costs as a result of inflows into our Japanese ITMs since the end of the first quarter of 2019.</w:t>
      </w:r>
    </w:p>
    <w:p>
      <w:pPr>
        <w:spacing w:after="0" w:line="20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Distribution and servicing costs paid to third-party intermediaries that source the assets of certain share classes of our U.S. mutual funds are recognized in this expense line and are offset entirely by the 12b-1 revenue we earn and report in administrative, distribution, and servicing fees.</w:t>
      </w:r>
    </w:p>
    <w:p>
      <w:pPr>
        <w:spacing w:after="0" w:line="184"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u w:val="single" w:color="auto"/>
          <w:color w:val="auto"/>
        </w:rPr>
        <w:t>Advertising and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and promotion costs were $24.9 million in the first quarter of 2020, an increase of $3.3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15.3%, compared to the $21.6 million recognized in the 2019 quarter. The increase for the period is due primarily to increased television media advertising activity in 2020 as compared to 2019.</w:t>
      </w:r>
    </w:p>
    <w:p>
      <w:pPr>
        <w:spacing w:after="0" w:line="1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occupancy, and facility costs consists of depreciation expense, technology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software, and costs related to our facilities. These costs were $105.4 million in the first quarter of 2020, an increase of $7.3 million, or 7.4%, compared to the $98.1 million recognized in the 2019 quarter. The increase for the period is due primarily to the ongoing investment in our technology capabilities, including related depreciation and hosted solution licenses.</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u w:val="single" w:color="auto"/>
          <w:color w:val="auto"/>
        </w:rPr>
        <w:t>General, administrative,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administrative, and other expenses were $77.1 million in the first quarter of 2020,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$4.1 million, or 5.6%, compared to the $73.0 million recognized in the 2019 quarter. The increase in the first quarter of 2020 compared with the 2019 period is primarily due to an increase in third-party investment research costs and higher professional fees, partially offset by lower travel expenses as global travel restrictions were put in place amid the coronavirus pandemic.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4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Non-operating loss in the first quarter of 2020 was $500.3 million, a decrease of $703.1 million from non-operating income in the first quarter of 2019 of $202.8 million. The following table details the components of non-operating income during both the first quarter of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5"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26035</wp:posOffset>
            </wp:positionV>
            <wp:extent cx="19373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3/31/2019</w:t>
            </w:r>
          </w:p>
        </w:tc>
      </w:tr>
      <w:tr>
        <w:trPr>
          <w:trHeight w:val="269"/>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Cash and discretionary investments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 income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Market related gains (losses) and equity in earnings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28.0</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Seed capital investments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8180" w:type="dxa"/>
            <w:vAlign w:val="bottom"/>
          </w:tcPr>
          <w:p>
            <w:pPr>
              <w:ind w:left="280"/>
              <w:spacing w:after="0"/>
              <w:rPr>
                <w:sz w:val="20"/>
                <w:szCs w:val="20"/>
                <w:color w:val="auto"/>
              </w:rPr>
            </w:pPr>
            <w:r>
              <w:rPr>
                <w:rFonts w:ascii="Arial" w:cs="Arial" w:eastAsia="Arial" w:hAnsi="Arial"/>
                <w:sz w:val="18"/>
                <w:szCs w:val="18"/>
                <w:color w:val="auto"/>
              </w:rPr>
              <w:t>Dividend income</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7"/>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related gains (losses) and equity in earnings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Net gain recognized upon deconsolidation</w:t>
            </w: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Total net gains (losses) from non-consolidated T. Rowe Price investment products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95.4</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 income</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Net gains (losses) on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b w:val="1"/>
                <w:bCs w:val="1"/>
                <w:color w:val="auto"/>
              </w:rPr>
              <w:t>100.1</w:t>
            </w:r>
          </w:p>
        </w:tc>
      </w:tr>
      <w:tr>
        <w:trPr>
          <w:trHeight w:val="27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consolidated sponsored investment portfolios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(loss), including foreign currency gains and losses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(loss)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202.8</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first quarter of 2020, our investment portfolio incurred steep declines in market value as global economies and markets are disrupted by the coronavirus pandemic. Our consolidated investment products and supplemental savings plan hedge portfolio comprised about 80% of the net losses recognized during the first quarter of 2020. The cash and discretionary investment portfolio also experienced net investment losses of $61.2 million in the first quarter of 2020.</w:t>
      </w:r>
    </w:p>
    <w:p>
      <w:pPr>
        <w:spacing w:after="0" w:line="20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table above includes the net investment income of the underlying portfolios included in the consolidated T. Rowe Price investment products and not just the net investment income related to our interest. The table below shows the impact that the consolidated T. Rowe Price investment products have on the individual lines of our unaudited condensed consolidated statements of income and the portion attributable to our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2"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26035</wp:posOffset>
            </wp:positionV>
            <wp:extent cx="19373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3/31/2020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3/31/2019</w:t>
            </w:r>
          </w:p>
        </w:tc>
      </w:tr>
      <w:tr>
        <w:trPr>
          <w:trHeight w:val="256"/>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 (loss) reflected in non-operating income (loss)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101.9</w:t>
            </w:r>
          </w:p>
        </w:tc>
      </w:tr>
      <w:tr>
        <w:trPr>
          <w:trHeight w:val="256"/>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98.8</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05"/>
        </w:trPr>
        <w:tc>
          <w:tcPr>
            <w:tcW w:w="8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our interest in the consolidated T. Rowe Price investment products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57.4</w:t>
            </w:r>
          </w:p>
        </w:tc>
      </w:tr>
      <w:tr>
        <w:trPr>
          <w:trHeight w:val="263"/>
        </w:trPr>
        <w:tc>
          <w:tcPr>
            <w:tcW w:w="8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redeemable non-controlling interests (unrelated third-party investors)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41.4</w:t>
            </w:r>
          </w:p>
        </w:tc>
      </w:tr>
      <w:tr>
        <w:trPr>
          <w:trHeight w:val="250"/>
        </w:trPr>
        <w:tc>
          <w:tcPr>
            <w:tcW w:w="8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98.8</w:t>
            </w: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effective tax rate for the first quarter of 2020 was 19.5%, compared with 24.7% in the 2019 quarter. The lower effective tax rate for the first quarter of 2020 as compared to the 2019 quarter is primarily due to higher discrete tax benefits associated with option exercises. These benefits were partially offset by net losses attributable to redeemable non-controlling interests held in the firm’s consolidated investment products, which are not taxable to us despite being included in pre-tax income, and a higher state effective tax rate. The higher state effective tax rate results primarily from the remeasurement of deferred tax liabilities related to our investment portfolio. The following table reconciles the statutory federal income tax rate to our effective tax rate for both the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2"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26035</wp:posOffset>
            </wp:positionV>
            <wp:extent cx="2057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3/31/2019</w:t>
            </w:r>
          </w:p>
        </w:tc>
      </w:tr>
      <w:tr>
        <w:trPr>
          <w:trHeight w:val="256"/>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70"/>
        </w:trPr>
        <w:tc>
          <w:tcPr>
            <w:tcW w:w="8000" w:type="dxa"/>
            <w:vAlign w:val="bottom"/>
          </w:tcPr>
          <w:p>
            <w:pPr>
              <w:ind w:left="40"/>
              <w:spacing w:after="0"/>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1"/>
                <w:szCs w:val="21"/>
                <w:color w:val="auto"/>
                <w:vertAlign w:val="superscript"/>
              </w:rPr>
              <w:t>(1)</w:t>
            </w: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4.2</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losses (income) attributable to redeemable non-controlling interests</w:t>
            </w:r>
          </w:p>
        </w:tc>
        <w:tc>
          <w:tcPr>
            <w:tcW w:w="15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r>
      <w:tr>
        <w:trPr>
          <w:trHeight w:val="263"/>
        </w:trPr>
        <w:tc>
          <w:tcPr>
            <w:tcW w:w="8000" w:type="dxa"/>
            <w:vAlign w:val="bottom"/>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15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.7</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560" w:type="dxa"/>
            <w:vAlign w:val="bottom"/>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0</wp:posOffset>
            </wp:positionV>
            <wp:extent cx="205740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0" cy="25400"/>
                    </a:xfrm>
                    <a:prstGeom prst="rect">
                      <a:avLst/>
                    </a:prstGeom>
                    <a:noFill/>
                  </pic:spPr>
                </pic:pic>
              </a:graphicData>
            </a:graphic>
          </wp:anchor>
        </w:drawing>
      </w:r>
    </w:p>
    <w:p>
      <w:pPr>
        <w:spacing w:after="0" w:line="11"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currently estimate our effective tax rate for the full-year 2020 will be in the range of 24% to 27%. Our effective tax rate will continue to experience volatility in future periods as the discrete tax benefits recognized from option exercises are impacted by market fluctuations in our stock price and timing of option exercises. The rate will also be impacted by net investment income recognized on our consolidated investment products that are driven by market fluctuations and changes in the proportion of their net income that is attributable to non-controlling interests.</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non-GAAP effective tax rate for the first quarter of 2020 and 2019 was 22.5% and 25.3%, respectively. The non-GAAP tax rate primarily adjusts for the impact of the consolidated investment products, including the significant net losses attributable to the redeemable non-controlling interests. The decrease in the non-GAAP effective tax rate is primarily due to the higher tax benefits associated with option exercises. We currently estimate our non-GAAP effective tax rate for the full-year 2020 will be in the range of 23.5% to 25.5%.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47"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ind w:right="3240"/>
        <w:spacing w:after="0" w:line="261" w:lineRule="auto"/>
        <w:rPr>
          <w:sz w:val="20"/>
          <w:szCs w:val="20"/>
          <w:color w:val="auto"/>
        </w:rPr>
      </w:pPr>
      <w:r>
        <w:rPr>
          <w:rFonts w:ascii="Arial" w:cs="Arial" w:eastAsia="Arial" w:hAnsi="Arial"/>
          <w:sz w:val="18"/>
          <w:szCs w:val="18"/>
          <w:color w:val="auto"/>
        </w:rPr>
        <w:t>The following schedules reconcile certain U.S. GAAP financial measures for the three months ended March 31, 2020 and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7"/>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 3/31/2020</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5"/>
                <w:szCs w:val="15"/>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w:t>
            </w: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(benefit) for</w:t>
            </w:r>
          </w:p>
        </w:tc>
        <w:tc>
          <w:tcPr>
            <w:tcW w:w="140" w:type="dxa"/>
            <w:vAlign w:val="bottom"/>
          </w:tcPr>
          <w:p>
            <w:pPr>
              <w:spacing w:after="0"/>
              <w:rPr>
                <w:sz w:val="14"/>
                <w:szCs w:val="14"/>
                <w:color w:val="auto"/>
              </w:rPr>
            </w:pP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7"/>
                <w:szCs w:val="17"/>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income (loss)</w:t>
            </w: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(4)</w:t>
            </w:r>
          </w:p>
        </w:tc>
        <w:tc>
          <w:tcPr>
            <w:tcW w:w="14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Rowe Price Group</w:t>
            </w:r>
          </w:p>
        </w:tc>
        <w:tc>
          <w:tcPr>
            <w:tcW w:w="16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per share</w:t>
            </w:r>
            <w:r>
              <w:rPr>
                <w:rFonts w:ascii="Arial" w:cs="Arial" w:eastAsia="Arial" w:hAnsi="Arial"/>
                <w:sz w:val="17"/>
                <w:szCs w:val="17"/>
                <w:b w:val="1"/>
                <w:bCs w:val="1"/>
                <w:color w:val="auto"/>
                <w:w w:val="98"/>
                <w:vertAlign w:val="superscript"/>
              </w:rPr>
              <w:t>(5)</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tcBorders>
            <w:shd w:val="clear" w:color="auto" w:fill="CCEEFF"/>
          </w:tcPr>
          <w:p>
            <w:pPr>
              <w:spacing w:after="0"/>
              <w:rPr>
                <w:sz w:val="21"/>
                <w:szCs w:val="21"/>
                <w:color w:val="auto"/>
              </w:rPr>
            </w:pPr>
          </w:p>
        </w:tc>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755.4</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707.2</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20" w:type="dxa"/>
            <w:vAlign w:val="bottom"/>
            <w:gridSpan w:val="2"/>
          </w:tcPr>
          <w:p>
            <w:pPr>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42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gridSpan w:val="2"/>
          </w:tcPr>
          <w:p>
            <w:pPr>
              <w:ind w:left="14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7"/>
            <w:shd w:val="clear" w:color="auto" w:fill="CCEEFF"/>
          </w:tcPr>
          <w:p>
            <w:pPr>
              <w:ind w:left="120"/>
              <w:spacing w:after="0"/>
              <w:rPr>
                <w:sz w:val="20"/>
                <w:szCs w:val="20"/>
                <w:color w:val="auto"/>
              </w:rPr>
            </w:pPr>
            <w:r>
              <w:rPr>
                <w:rFonts w:ascii="Arial" w:cs="Arial" w:eastAsia="Arial" w:hAnsi="Arial"/>
                <w:sz w:val="14"/>
                <w:szCs w:val="14"/>
                <w:b w:val="1"/>
                <w:bCs w:val="1"/>
                <w:color w:val="auto"/>
              </w:rPr>
              <w:t>Three months ended 3/31/2019</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5"/>
                <w:szCs w:val="15"/>
                <w:color w:val="auto"/>
              </w:rPr>
            </w:pPr>
          </w:p>
        </w:tc>
        <w:tc>
          <w:tcPr>
            <w:tcW w:w="13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Operating</w:t>
            </w:r>
          </w:p>
        </w:tc>
        <w:tc>
          <w:tcPr>
            <w:tcW w:w="1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Net operating</w:t>
            </w:r>
          </w:p>
        </w:tc>
        <w:tc>
          <w:tcPr>
            <w:tcW w:w="12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Non-operating</w:t>
            </w:r>
          </w:p>
        </w:tc>
        <w:tc>
          <w:tcPr>
            <w:tcW w:w="16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(benefit) for</w:t>
            </w: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attributable to T.</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Diluted earnings</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income taxes</w:t>
            </w:r>
            <w:r>
              <w:rPr>
                <w:rFonts w:ascii="Arial" w:cs="Arial" w:eastAsia="Arial" w:hAnsi="Arial"/>
                <w:sz w:val="17"/>
                <w:szCs w:val="17"/>
                <w:b w:val="1"/>
                <w:bCs w:val="1"/>
                <w:color w:val="auto"/>
                <w:w w:val="99"/>
                <w:vertAlign w:val="superscript"/>
              </w:rPr>
              <w:t>(4)</w:t>
            </w:r>
          </w:p>
        </w:tc>
        <w:tc>
          <w:tcPr>
            <w:tcW w:w="120" w:type="dxa"/>
            <w:vAlign w:val="bottom"/>
            <w:tcBorders>
              <w:bottom w:val="single" w:sz="8" w:color="CCEEFF"/>
            </w:tcBorders>
            <w:gridSpan w:val="2"/>
          </w:tcPr>
          <w:p>
            <w:pPr>
              <w:spacing w:after="0"/>
              <w:rPr>
                <w:sz w:val="17"/>
                <w:szCs w:val="17"/>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Rowe Price Group</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17"/>
                <w:szCs w:val="17"/>
                <w:b w:val="1"/>
                <w:bCs w:val="1"/>
                <w:color w:val="auto"/>
                <w:vertAlign w:val="superscript"/>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794.8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532.5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6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4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gridSpan w:val="2"/>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155.8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40" w:hanging="332"/>
        <w:spacing w:after="0" w:line="24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7"/>
          <w:szCs w:val="17"/>
          <w:color w:val="auto"/>
        </w:rPr>
        <w:t>These non-GAAP adjustments remove the impact the consolidated T. Rowe Price investment products have on our U.S. GAAP consolidated statements of income. Specifically, we add back the operating expenses and subtract the investment income of the consolidated T. Rowe Price investment products. The adjustment to our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 We remove the impact of the consolidated</w:t>
      </w:r>
    </w:p>
    <w:p>
      <w:pPr>
        <w:spacing w:after="0" w:line="2"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7"/>
          <w:szCs w:val="17"/>
          <w:color w:val="auto"/>
        </w:rPr>
        <w:t>T. Rowe Price investment products as we believe they impact the reader’s ability to understand our core operating results.</w:t>
      </w:r>
    </w:p>
    <w:p>
      <w:pPr>
        <w:spacing w:after="0" w:line="209" w:lineRule="exact"/>
        <w:rPr>
          <w:rFonts w:ascii="Arial" w:cs="Arial" w:eastAsia="Arial" w:hAnsi="Arial"/>
          <w:sz w:val="14"/>
          <w:szCs w:val="14"/>
          <w:color w:val="auto"/>
        </w:rPr>
      </w:pPr>
    </w:p>
    <w:p>
      <w:pPr>
        <w:ind w:left="340" w:right="40" w:hanging="332"/>
        <w:spacing w:after="0" w:line="25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7"/>
          <w:szCs w:val="17"/>
          <w:color w:val="auto"/>
        </w:rPr>
        <w:t>These non-GAAP adjustments remove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We believe it is useful to offset the non-operating investment income (loss) realized on the hedges against the related compensation expense and remove the net impact to help the reader's ability to understand our core operating results and to increase comparability period to period.</w:t>
      </w:r>
    </w:p>
    <w:p>
      <w:pPr>
        <w:spacing w:after="0" w:line="195" w:lineRule="exact"/>
        <w:rPr>
          <w:rFonts w:ascii="Arial" w:cs="Arial" w:eastAsia="Arial" w:hAnsi="Arial"/>
          <w:sz w:val="14"/>
          <w:szCs w:val="14"/>
          <w:color w:val="auto"/>
        </w:rPr>
      </w:pPr>
    </w:p>
    <w:p>
      <w:pPr>
        <w:ind w:left="340" w:right="280" w:hanging="332"/>
        <w:spacing w:after="0" w:line="25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7"/>
          <w:szCs w:val="17"/>
          <w:color w:val="auto"/>
        </w:rPr>
        <w:t>This non-GAAP adjustment represents the other non-operating income (loss) and the net gains (losses) earned on our non-consolidated investment portfolio that are not designated as economic hedges of the supplemental savings plan liability, and non-consolidated seed investments and other investments that are not part of the cash and discretionary investment portfolio. We retain the investment gains recognized on our non-consolidated cash and discretionary investments as these assets and related income (loss) are considered part of our core operations. We believe adjusting for these non-operating income (loss) items helps the reader’s ability to understand our core operating results and increases comparability to prior years. Additionally, we do not emphasize the impact of the portion of non-operating income (loss) removed when managing and evaluating our core performance.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ind w:left="340" w:right="180" w:hanging="332"/>
        <w:spacing w:after="0" w:line="25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7"/>
          <w:szCs w:val="17"/>
          <w:color w:val="auto"/>
        </w:rPr>
        <w:t>The income tax impacts were calculated in order to achieve an overall non-GAAP effective tax rate of 22.5% for 2020 and 25.3% for 2019. We estimate that our effective tax rate for the full-year 2020 on a non-GAAP basis will be in the range of 23.5% to 25.5%.</w:t>
      </w:r>
    </w:p>
    <w:p>
      <w:pPr>
        <w:spacing w:after="0" w:line="185" w:lineRule="exact"/>
        <w:rPr>
          <w:rFonts w:ascii="Arial" w:cs="Arial" w:eastAsia="Arial" w:hAnsi="Arial"/>
          <w:sz w:val="14"/>
          <w:szCs w:val="14"/>
          <w:color w:val="auto"/>
        </w:rPr>
      </w:pPr>
    </w:p>
    <w:p>
      <w:pPr>
        <w:ind w:left="340" w:right="200" w:hanging="332"/>
        <w:spacing w:after="0" w:line="254"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201295</wp:posOffset>
            </wp:positionV>
            <wp:extent cx="659193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91935" cy="171450"/>
                    </a:xfrm>
                    <a:prstGeom prst="rect">
                      <a:avLst/>
                    </a:prstGeom>
                    <a:noFill/>
                  </pic:spPr>
                </pic:pic>
              </a:graphicData>
            </a:graphic>
          </wp:anchor>
        </w:drawing>
      </w:r>
    </w:p>
    <w:p>
      <w:pPr>
        <w:spacing w:after="0" w:line="365"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26035</wp:posOffset>
            </wp:positionV>
            <wp:extent cx="1714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9"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7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3/31/2020</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3/31/2019</w:t>
            </w:r>
          </w:p>
        </w:tc>
      </w:tr>
      <w:tr>
        <w:trPr>
          <w:trHeight w:val="256"/>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460.6</w:t>
            </w:r>
          </w:p>
        </w:tc>
      </w:tr>
      <w:tr>
        <w:trPr>
          <w:trHeight w:val="26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11.6</w:t>
            </w:r>
          </w:p>
        </w:tc>
      </w:tr>
      <w:tr>
        <w:trPr>
          <w:trHeight w:val="24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449.0</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3/31/2020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12/31/2019</w:t>
            </w:r>
          </w:p>
        </w:tc>
      </w:tr>
      <w:tr>
        <w:trPr>
          <w:trHeight w:val="249"/>
        </w:trPr>
        <w:tc>
          <w:tcPr>
            <w:tcW w:w="83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1,562.4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1,781.8</w:t>
            </w:r>
          </w:p>
        </w:tc>
      </w:tr>
      <w:tr>
        <w:trPr>
          <w:trHeight w:val="27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1,841.4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1,899.6</w:t>
            </w:r>
          </w:p>
        </w:tc>
      </w:tr>
      <w:tr>
        <w:trPr>
          <w:trHeight w:val="250"/>
        </w:trPr>
        <w:tc>
          <w:tcPr>
            <w:tcW w:w="838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3,403.8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3,681.4</w:t>
            </w:r>
          </w:p>
        </w:tc>
      </w:tr>
      <w:tr>
        <w:trPr>
          <w:trHeight w:val="27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1,325.6</w:t>
            </w:r>
          </w:p>
        </w:tc>
      </w:tr>
      <w:tr>
        <w:trPr>
          <w:trHeight w:val="264"/>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561.1</w:t>
            </w:r>
          </w:p>
        </w:tc>
      </w:tr>
      <w:tr>
        <w:trPr>
          <w:trHeight w:val="25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4,985.4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5,568.1</w:t>
            </w:r>
          </w:p>
        </w:tc>
      </w:tr>
      <w:tr>
        <w:trPr>
          <w:trHeight w:val="20"/>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Our discretionary investment portfolio is comprised primarily of short duration bond funds, which typically yield higher than money market rates, and asset allocation products. Cash and discretionary investments incurred losses of $61.2 million in the three months ended</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March 31, 2020, as compared to generating income of $44.2 million in the prior quarter. Cash and discretionary investments in T. Rowe Price products held by our subsidiaries outside the U.S. were $684.3 million at March 31, 2020 and $665.8 million at December 31, 2019. Given the availability of our financial resources and cash expected to be generated through future operations, we do not maintain an available external source of additional liquidity.</w:t>
      </w:r>
    </w:p>
    <w:p>
      <w:pPr>
        <w:spacing w:after="0" w:line="20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7" w:name="page28"/>
    <w:bookmarkEnd w:id="27"/>
    <w:p>
      <w:pPr>
        <w:jc w:val="both"/>
        <w:ind w:right="60"/>
        <w:spacing w:after="0" w:line="256"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 Group’s interests in cash and investments relate to where they are presented on the unaudited condensed consolidated balance sheet as of March 31, 2020.</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equivalents</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4"/>
                <w:szCs w:val="14"/>
                <w:b w:val="1"/>
                <w:bCs w:val="1"/>
                <w:color w:val="auto"/>
              </w:rPr>
              <w:t>Investments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ind w:right="57"/>
              <w:spacing w:after="0"/>
              <w:rPr>
                <w:sz w:val="20"/>
                <w:szCs w:val="20"/>
                <w:color w:val="auto"/>
              </w:rPr>
            </w:pPr>
            <w:r>
              <w:rPr>
                <w:rFonts w:ascii="Arial" w:cs="Arial" w:eastAsia="Arial" w:hAnsi="Arial"/>
                <w:sz w:val="14"/>
                <w:szCs w:val="14"/>
                <w:b w:val="1"/>
                <w:bCs w:val="1"/>
                <w:color w:val="auto"/>
                <w:w w:val="97"/>
              </w:rPr>
              <w:t>products</w:t>
            </w:r>
            <w:r>
              <w:rPr>
                <w:rFonts w:ascii="Arial" w:cs="Arial" w:eastAsia="Arial" w:hAnsi="Arial"/>
                <w:sz w:val="17"/>
                <w:szCs w:val="17"/>
                <w:b w:val="1"/>
                <w:bCs w:val="1"/>
                <w:color w:val="auto"/>
                <w:w w:val="97"/>
                <w:vertAlign w:val="superscript"/>
              </w:rPr>
              <w:t>(1)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3/31/2020</w:t>
            </w:r>
          </w:p>
        </w:tc>
        <w:tc>
          <w:tcPr>
            <w:tcW w:w="0" w:type="dxa"/>
            <w:vAlign w:val="bottom"/>
          </w:tcPr>
          <w:p>
            <w:pPr>
              <w:spacing w:after="0"/>
              <w:rPr>
                <w:sz w:val="1"/>
                <w:szCs w:val="1"/>
                <w:color w:val="auto"/>
              </w:rPr>
            </w:pPr>
          </w:p>
        </w:tc>
      </w:tr>
      <w:tr>
        <w:trPr>
          <w:trHeight w:val="257"/>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1,562.4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1,727.2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3,403.8</w:t>
            </w:r>
          </w:p>
        </w:tc>
        <w:tc>
          <w:tcPr>
            <w:tcW w:w="0" w:type="dxa"/>
            <w:vAlign w:val="bottom"/>
          </w:tcPr>
          <w:p>
            <w:pPr>
              <w:spacing w:after="0"/>
              <w:rPr>
                <w:sz w:val="1"/>
                <w:szCs w:val="1"/>
                <w:color w:val="auto"/>
              </w:rPr>
            </w:pPr>
          </w:p>
        </w:tc>
      </w:tr>
      <w:tr>
        <w:trPr>
          <w:trHeight w:val="27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856.2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1,081.6</w:t>
            </w:r>
          </w:p>
        </w:tc>
        <w:tc>
          <w:tcPr>
            <w:tcW w:w="0" w:type="dxa"/>
            <w:vAlign w:val="bottom"/>
          </w:tcPr>
          <w:p>
            <w:pPr>
              <w:spacing w:after="0"/>
              <w:rPr>
                <w:sz w:val="1"/>
                <w:szCs w:val="1"/>
                <w:color w:val="auto"/>
              </w:rPr>
            </w:pPr>
          </w:p>
        </w:tc>
      </w:tr>
      <w:tr>
        <w:trPr>
          <w:trHeight w:val="26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5"/>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in T. Rowe Price products attributable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 T. Rowe Price Group</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1,562.4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2,452.6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970.4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4,985.4</w:t>
            </w:r>
          </w:p>
        </w:tc>
        <w:tc>
          <w:tcPr>
            <w:tcW w:w="0" w:type="dxa"/>
            <w:vAlign w:val="bottom"/>
          </w:tcPr>
          <w:p>
            <w:pPr>
              <w:spacing w:after="0"/>
              <w:rPr>
                <w:sz w:val="1"/>
                <w:szCs w:val="1"/>
                <w:color w:val="auto"/>
              </w:rPr>
            </w:pPr>
          </w:p>
        </w:tc>
      </w:tr>
      <w:tr>
        <w:trPr>
          <w:trHeight w:val="264"/>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56"/>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1,562.4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2,731.3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970.4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5,264.1</w:t>
            </w:r>
          </w:p>
        </w:tc>
        <w:tc>
          <w:tcPr>
            <w:tcW w:w="0" w:type="dxa"/>
            <w:vAlign w:val="bottom"/>
          </w:tcPr>
          <w:p>
            <w:pPr>
              <w:spacing w:after="0"/>
              <w:rPr>
                <w:sz w:val="1"/>
                <w:szCs w:val="1"/>
                <w:color w:val="auto"/>
              </w:rPr>
            </w:pPr>
          </w:p>
        </w:tc>
      </w:tr>
      <w:tr>
        <w:trPr>
          <w:trHeight w:val="264"/>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971.0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215"/>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 reported on unaudited condensed consolidated balance sheet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1,562.4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2,731.3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1,941.4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6,235.1</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at March 31, 2020</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80" w:right="60" w:hanging="172"/>
        <w:spacing w:after="0" w:line="233" w:lineRule="auto"/>
        <w:tabs>
          <w:tab w:leader="none" w:pos="180" w:val="left"/>
        </w:tabs>
        <w:numPr>
          <w:ilvl w:val="0"/>
          <w:numId w:val="1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 Rowe Price investment products that we consolidate are generally those products we provided seed capital at the time of their formation and we have a controlling interest. These products generally represent U.S. mutual funds as well as those funds regulated outside the U.S. The net assets of the T. Rowe Price investment products at March 31, 2020 consist of the assets of these products that we consolidate on our unaudited condensed consolidated balance sheets of $2,024.3 million, less the liabilities of these products of $82.9 million.</w:t>
      </w:r>
    </w:p>
    <w:p>
      <w:pPr>
        <w:spacing w:after="0" w:line="203" w:lineRule="exact"/>
        <w:rPr>
          <w:sz w:val="20"/>
          <w:szCs w:val="20"/>
          <w:color w:val="auto"/>
        </w:rPr>
      </w:pPr>
    </w:p>
    <w:p>
      <w:pPr>
        <w:jc w:val="both"/>
        <w:ind w:right="260"/>
        <w:spacing w:after="0" w:line="265" w:lineRule="auto"/>
        <w:rPr>
          <w:sz w:val="20"/>
          <w:szCs w:val="20"/>
          <w:color w:val="auto"/>
        </w:rPr>
      </w:pPr>
      <w:r>
        <w:rPr>
          <w:rFonts w:ascii="Arial" w:cs="Arial" w:eastAsia="Arial" w:hAnsi="Arial"/>
          <w:sz w:val="17"/>
          <w:szCs w:val="17"/>
          <w:color w:val="auto"/>
        </w:rPr>
        <w:t>Our unaudited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increased our quarterly recurring dividend per common share in February 2020 by 18.4% to $.90 per common share from $.76 per common share. Additionally, we expended $887.0 million in the first quarter of 2020 to repurchase 8.3 million shares, or 3.5%, of our outstanding common stock at an average price of $106.43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 w:name="page29"/>
    <w:bookmarkEnd w:id="28"/>
    <w:p>
      <w:pPr>
        <w:ind w:right="520"/>
        <w:spacing w:after="0" w:line="261" w:lineRule="auto"/>
        <w:rPr>
          <w:sz w:val="20"/>
          <w:szCs w:val="20"/>
          <w:color w:val="auto"/>
        </w:rPr>
      </w:pPr>
      <w:r>
        <w:rPr>
          <w:rFonts w:ascii="Arial" w:cs="Arial" w:eastAsia="Arial" w:hAnsi="Arial"/>
          <w:sz w:val="18"/>
          <w:szCs w:val="18"/>
          <w:color w:val="auto"/>
        </w:rPr>
        <w:t>Since the end of 2017, we have returned $4.3 billion to stockholders through stock repurchases and our regular quarterly dividends,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18"/>
              <w:spacing w:after="0"/>
              <w:rPr>
                <w:sz w:val="20"/>
                <w:szCs w:val="20"/>
                <w:color w:val="auto"/>
              </w:rPr>
            </w:pPr>
            <w:r>
              <w:rPr>
                <w:rFonts w:ascii="Arial" w:cs="Arial" w:eastAsia="Arial" w:hAnsi="Arial"/>
                <w:sz w:val="14"/>
                <w:szCs w:val="14"/>
                <w:b w:val="1"/>
                <w:bCs w:val="1"/>
                <w:color w:val="auto"/>
              </w:rPr>
              <w:t>Total cash</w:t>
            </w:r>
          </w:p>
        </w:tc>
      </w:tr>
      <w:tr>
        <w:trPr>
          <w:trHeight w:val="162"/>
        </w:trPr>
        <w:tc>
          <w:tcPr>
            <w:tcW w:w="6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Recurring</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returned to</w:t>
            </w:r>
          </w:p>
        </w:tc>
      </w:tr>
      <w:tr>
        <w:trPr>
          <w:trHeight w:val="196"/>
        </w:trPr>
        <w:tc>
          <w:tcPr>
            <w:tcW w:w="6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dividend</w:t>
            </w: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r>
      <w:tr>
        <w:trPr>
          <w:trHeight w:val="249"/>
        </w:trPr>
        <w:tc>
          <w:tcPr>
            <w:tcW w:w="694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21"/>
                <w:szCs w:val="21"/>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1,099.6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1,794.3</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1,442.4</w:t>
            </w:r>
          </w:p>
        </w:tc>
      </w:tr>
      <w:tr>
        <w:trPr>
          <w:trHeight w:val="263"/>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Three months ended 3/31/2020</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1,101.7</w:t>
            </w: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1,643.0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4,338.4</w:t>
            </w: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anticipate property and equipment expenditures for the full-year 2020 to be about $230 million, of which about three-quarters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4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table summarizes the cash flows for the three months ended March 31, 2020 and 2019, that are attributable to T. Rowe Price Group, our consolidated T. Rowe Price investment products, and the related eliminations required in preparing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26035</wp:posOffset>
            </wp:positionV>
            <wp:extent cx="4877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3/31/2020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75"/>
        </w:trPr>
        <w:tc>
          <w:tcPr>
            <w:tcW w:w="3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62"/>
        </w:trPr>
        <w:tc>
          <w:tcPr>
            <w:tcW w:w="3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5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5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5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As</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8"/>
              </w:rPr>
              <w:t>to T. Rowe</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As</w:t>
            </w:r>
          </w:p>
        </w:tc>
      </w:tr>
      <w:tr>
        <w:trPr>
          <w:trHeight w:val="202"/>
        </w:trPr>
        <w:tc>
          <w:tcPr>
            <w:tcW w:w="3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Elims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reported</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98"/>
              </w:rPr>
              <w:t>reported</w:t>
            </w: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77"/>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554.0</w:t>
            </w: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5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5"/>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41.9</w:t>
            </w:r>
          </w:p>
        </w:tc>
      </w:tr>
      <w:tr>
        <w:trPr>
          <w:trHeight w:val="263"/>
        </w:trPr>
        <w:tc>
          <w:tcPr>
            <w:tcW w:w="356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43.5</w:t>
            </w:r>
          </w:p>
        </w:tc>
      </w:tr>
      <w:tr>
        <w:trPr>
          <w:trHeight w:val="235"/>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(gains) losses recognized on</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29"/>
        </w:trPr>
        <w:tc>
          <w:tcPr>
            <w:tcW w:w="3560" w:type="dxa"/>
            <w:vAlign w:val="bottom"/>
          </w:tcPr>
          <w:p>
            <w:pPr>
              <w:ind w:left="280"/>
              <w:spacing w:after="0"/>
              <w:rPr>
                <w:sz w:val="20"/>
                <w:szCs w:val="20"/>
                <w:color w:val="auto"/>
              </w:rPr>
            </w:pPr>
            <w:r>
              <w:rPr>
                <w:rFonts w:ascii="Arial" w:cs="Arial" w:eastAsia="Arial" w:hAnsi="Arial"/>
                <w:sz w:val="18"/>
                <w:szCs w:val="18"/>
                <w:color w:val="auto"/>
              </w:rPr>
              <w:t>Net investments in T. Rowe Price</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560" w:type="dxa"/>
            <w:vAlign w:val="bottom"/>
          </w:tcPr>
          <w:p>
            <w:pPr>
              <w:ind w:left="280"/>
              <w:spacing w:after="0" w:line="202" w:lineRule="exact"/>
              <w:rPr>
                <w:sz w:val="20"/>
                <w:szCs w:val="20"/>
                <w:color w:val="auto"/>
              </w:rPr>
            </w:pPr>
            <w:r>
              <w:rPr>
                <w:rFonts w:ascii="Arial" w:cs="Arial" w:eastAsia="Arial" w:hAnsi="Arial"/>
                <w:sz w:val="18"/>
                <w:szCs w:val="18"/>
                <w:color w:val="auto"/>
              </w:rPr>
              <w:t>investment products used to</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560" w:type="dxa"/>
            <w:vAlign w:val="bottom"/>
          </w:tcPr>
          <w:p>
            <w:pPr>
              <w:ind w:left="280"/>
              <w:spacing w:after="0" w:line="202" w:lineRule="exact"/>
              <w:rPr>
                <w:sz w:val="20"/>
                <w:szCs w:val="20"/>
                <w:color w:val="auto"/>
              </w:rPr>
            </w:pPr>
            <w:r>
              <w:rPr>
                <w:rFonts w:ascii="Arial" w:cs="Arial" w:eastAsia="Arial" w:hAnsi="Arial"/>
                <w:sz w:val="18"/>
                <w:szCs w:val="18"/>
                <w:color w:val="auto"/>
              </w:rPr>
              <w:t>economically hedge supplemental</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560" w:type="dxa"/>
            <w:vAlign w:val="bottom"/>
          </w:tcPr>
          <w:p>
            <w:pPr>
              <w:ind w:left="280"/>
              <w:spacing w:after="0"/>
              <w:rPr>
                <w:sz w:val="20"/>
                <w:szCs w:val="20"/>
                <w:color w:val="auto"/>
              </w:rPr>
            </w:pPr>
            <w:r>
              <w:rPr>
                <w:rFonts w:ascii="Arial" w:cs="Arial" w:eastAsia="Arial" w:hAnsi="Arial"/>
                <w:sz w:val="18"/>
                <w:szCs w:val="18"/>
                <w:color w:val="auto"/>
              </w:rPr>
              <w:t>savings plan liability</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5"/>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03"/>
        </w:trPr>
        <w:tc>
          <w:tcPr>
            <w:tcW w:w="35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consolidated T. Rowe Price investment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r>
      <w:tr>
        <w:trPr>
          <w:trHeight w:val="264"/>
        </w:trPr>
        <w:tc>
          <w:tcPr>
            <w:tcW w:w="3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223.7</w:t>
            </w:r>
          </w:p>
        </w:tc>
      </w:tr>
      <w:tr>
        <w:trPr>
          <w:trHeight w:val="215"/>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787.7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578.7</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Net cash provided by (used in) investing</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56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5"/>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560" w:type="dxa"/>
            <w:vAlign w:val="bottom"/>
          </w:tcPr>
          <w:p>
            <w:pPr>
              <w:ind w:left="40"/>
              <w:spacing w:after="0" w:line="202" w:lineRule="exact"/>
              <w:rPr>
                <w:sz w:val="20"/>
                <w:szCs w:val="20"/>
                <w:color w:val="auto"/>
              </w:rPr>
            </w:pPr>
            <w:r>
              <w:rPr>
                <w:rFonts w:ascii="Arial" w:cs="Arial" w:eastAsia="Arial" w:hAnsi="Arial"/>
                <w:sz w:val="18"/>
                <w:szCs w:val="18"/>
                <w:color w:val="auto"/>
              </w:rPr>
              <w:t>and cash equivalents of consolidated T.</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560" w:type="dxa"/>
            <w:vAlign w:val="bottom"/>
          </w:tcPr>
          <w:p>
            <w:pPr>
              <w:ind w:left="40"/>
              <w:spacing w:after="0"/>
              <w:rPr>
                <w:sz w:val="20"/>
                <w:szCs w:val="20"/>
                <w:color w:val="auto"/>
              </w:rPr>
            </w:pPr>
            <w:r>
              <w:rPr>
                <w:rFonts w:ascii="Arial" w:cs="Arial" w:eastAsia="Arial" w:hAnsi="Arial"/>
                <w:sz w:val="18"/>
                <w:szCs w:val="18"/>
                <w:color w:val="auto"/>
              </w:rPr>
              <w:t>Rowe Price investment products</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5"/>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30"/>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238.2</w:t>
            </w: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1,858.3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1,495.3</w:t>
            </w:r>
          </w:p>
        </w:tc>
      </w:tr>
      <w:tr>
        <w:trPr>
          <w:trHeight w:val="256"/>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 $</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1,680.1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1,733.5</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Operating activities attributable to T. Rowe Price Group during the first quarter of 2020 provided cash flows of $864.0 million as compared to $673.4 million during the first quarter of 2019. Operating cash flows attributable to T. Rowe Price Group increased $190.6 million as $492.5 million in higher non -cash adjustments, including unrealized investment gains/losses, depreciation, and stock-based compensation expense, more than offset the $169.5 million decline in net income from the first quarter of 2019. The non-cash adjustments were driven by a $ 464.2 million change in net investment gains/losses as we recognized investment losses in the first quarter of 2020 compared with gains in the first quarter of 2019. The investment losses in 2020, which are added back to net income, were a result of the market disruption caused by the coronavirus pandemic. The majority of the remaining adjustments related to timing differences on the cash settlement of our assets and liabilities, which decreased cash flows by $132.4 million. Our interim operating cash flows do not include the cash impact of variable compensation that is accrued throughout the year before being substantially paid out in December. The remaining change in reported cash flows from operating activities was attributable to the net change in trading securities held in our consolidated investment products’ underlying portfolios.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investing activities that are attributable to T. Rowe Price Group totaled $15.0 million in the first quarter of 2020 compared with $69.2 million in the 2019 period. During 2020, we received net proceeds from our discretionary investments of $74.0 million compared to net proceeds of $17.9 million during 2019. In addition, we decreased our property and equipment expenditures by $ 1.7 million and decreased the level of seed capital provided by $4.6 million. Since we consolidate the seed capital in T. Rowe Price investment products, our seed capital was eliminated in preparing our unaudited condensed consolidated statement of cash flows. The remaining$2.6 million change in reported cash flows from investing activities is related to the net cash removed from our balance sheet from consolidating and deconsolidating investment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were $1,068.4 million in the first quarter of 2020 compared with $372.0 million in the 2019 period. During 2020, there was a $660.3 million increase in cash paid for common stock repurchases as we repurchased 5.8 million more common stock in the first quarter of 2020 as compared to the first quarter of 2019. Additionally, there was a $30.6 million increase in dividends paid in 2020 as a result of an 18.4% increase in our quarterly dividend per share. The remaining change in reported cash flows from financing activities is primarily attributable to a $10.1 million increase in net subscriptions received from redeemable non-controlling interest holders of our consolidated investment products during the first quarter of 2020 compared to the 2019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2019 Annual Report on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2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tax rate; and our expectations regarding financial markets, future transactions, dividends, stock repurchases, investments, new products and services, capital expenditures, changes in our effective fee rate, the impact of the coronavirus pandemic, and other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10-Q and our Form 10-K Annual Report for 2019.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and subadvised and separately managed funds and other investment products,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recent coronavirus outbreak. The ability to attract and retain investors’ assets under our management is dependent on investor sentiment and confidence; the relative investment performance of the U.S. mutual funds and other managed investment products as compared with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1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PRICE RISK.</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first quarter of 2020, the impact of the global coronavirus pandemic began to rapidly spread throughout the world and caused increasing disruption to populations, economic activity, and the global financial markets. Since our investments in T. Rowe Price investment products are carried at fair value, these investments are subject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2" w:name="page33"/>
    <w:bookmarkEnd w:id="32"/>
    <w:p>
      <w:pPr>
        <w:spacing w:after="0" w:line="253" w:lineRule="auto"/>
        <w:rPr>
          <w:sz w:val="20"/>
          <w:szCs w:val="20"/>
          <w:color w:val="auto"/>
        </w:rPr>
      </w:pPr>
      <w:r>
        <w:rPr>
          <w:rFonts w:ascii="Arial" w:cs="Arial" w:eastAsia="Arial" w:hAnsi="Arial"/>
          <w:sz w:val="18"/>
          <w:szCs w:val="18"/>
          <w:color w:val="auto"/>
        </w:rPr>
        <w:t>to market risk. The following table presents the equity price risk from our investments in T. Rowe Price investment products. Investments in these products generally moderate market risk as they are diversified and invest in a number of different financial instruments. T. Rowe Price manages its cash and discretionary investments exposure to market risk by diversifying its investments among equity and fixed income portfolios. In addition, investment holdings may be altered from time to time in response to changes in market risks and other factors, as management deems appropriate. We do not actively manage the market risk related to our our seed capital investments.</w:t>
      </w:r>
    </w:p>
    <w:p>
      <w:pPr>
        <w:spacing w:after="0" w:line="2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order to quantify the sensitivity of our investments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March 31, 2020 was determined by using the lower of each product’s lowest net asset value per share during the first quarter of 2020 or its net asset value per share at March 31, 2020,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341"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Potential lower</w:t>
            </w:r>
          </w:p>
        </w:tc>
        <w:tc>
          <w:tcPr>
            <w:tcW w:w="28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rPr>
              <w:t>Potential</w:t>
            </w:r>
          </w:p>
        </w:tc>
        <w:tc>
          <w:tcPr>
            <w:tcW w:w="600" w:type="dxa"/>
            <w:vAlign w:val="bottom"/>
            <w:shd w:val="clear" w:color="auto" w:fill="CCEEFF"/>
          </w:tcPr>
          <w:p>
            <w:pPr>
              <w:spacing w:after="0"/>
              <w:rPr>
                <w:sz w:val="15"/>
                <w:szCs w:val="15"/>
                <w:color w:val="auto"/>
              </w:rPr>
            </w:pPr>
          </w:p>
        </w:tc>
      </w:tr>
      <w:tr>
        <w:trPr>
          <w:trHeight w:val="202"/>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Fair value 3/31/2020</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28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left="234"/>
              <w:spacing w:after="0"/>
              <w:rPr>
                <w:sz w:val="20"/>
                <w:szCs w:val="20"/>
                <w:color w:val="auto"/>
              </w:rPr>
            </w:pPr>
            <w:r>
              <w:rPr>
                <w:rFonts w:ascii="Arial" w:cs="Arial" w:eastAsia="Arial" w:hAnsi="Arial"/>
                <w:sz w:val="14"/>
                <w:szCs w:val="14"/>
                <w:b w:val="1"/>
                <w:bCs w:val="1"/>
                <w:color w:val="auto"/>
                <w:w w:val="99"/>
              </w:rPr>
              <w:t>loss</w:t>
            </w:r>
          </w:p>
        </w:tc>
        <w:tc>
          <w:tcPr>
            <w:tcW w:w="600" w:type="dxa"/>
            <w:vAlign w:val="bottom"/>
            <w:shd w:val="clear" w:color="auto" w:fill="CCEEFF"/>
          </w:tcPr>
          <w:p>
            <w:pPr>
              <w:spacing w:after="0"/>
              <w:rPr>
                <w:sz w:val="17"/>
                <w:szCs w:val="17"/>
                <w:color w:val="auto"/>
              </w:rPr>
            </w:pPr>
          </w:p>
        </w:tc>
      </w:tr>
      <w:tr>
        <w:trPr>
          <w:trHeight w:val="257"/>
        </w:trPr>
        <w:tc>
          <w:tcPr>
            <w:tcW w:w="5840" w:type="dxa"/>
            <w:vAlign w:val="bottom"/>
          </w:tcPr>
          <w:p>
            <w:pPr>
              <w:ind w:left="20"/>
              <w:spacing w:after="0"/>
              <w:rPr>
                <w:sz w:val="20"/>
                <w:szCs w:val="20"/>
                <w:color w:val="auto"/>
              </w:rPr>
            </w:pPr>
            <w:r>
              <w:rPr>
                <w:rFonts w:ascii="Arial" w:cs="Arial" w:eastAsia="Arial" w:hAnsi="Arial"/>
                <w:sz w:val="18"/>
                <w:szCs w:val="18"/>
                <w:color w:val="auto"/>
              </w:rPr>
              <w:t>Investments in T. Rowe Price products</w:t>
            </w:r>
          </w:p>
        </w:tc>
        <w:tc>
          <w:tcPr>
            <w:tcW w:w="4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r>
      <w:tr>
        <w:trPr>
          <w:trHeight w:val="277"/>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Discretionary investments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5840" w:type="dxa"/>
            <w:vAlign w:val="bottom"/>
          </w:tcPr>
          <w:p>
            <w:pPr>
              <w:ind w:left="160"/>
              <w:spacing w:after="0"/>
              <w:rPr>
                <w:sz w:val="20"/>
                <w:szCs w:val="20"/>
                <w:color w:val="auto"/>
              </w:rPr>
            </w:pPr>
            <w:r>
              <w:rPr>
                <w:rFonts w:ascii="Arial" w:cs="Arial" w:eastAsia="Arial" w:hAnsi="Arial"/>
                <w:sz w:val="18"/>
                <w:szCs w:val="18"/>
                <w:color w:val="auto"/>
              </w:rPr>
              <w:t>Seed capital not consolidated</w:t>
            </w:r>
          </w:p>
        </w:tc>
        <w:tc>
          <w:tcPr>
            <w:tcW w:w="4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5"/>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designated as an economic hedge of supplemental</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4"/>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plan liability</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1,588.1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1,420.0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investment in consolidated T. Rowe Price investment products</w:t>
            </w: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3"/>
        </w:trPr>
        <w:tc>
          <w:tcPr>
            <w:tcW w:w="5840" w:type="dxa"/>
            <w:vAlign w:val="bottom"/>
          </w:tcPr>
          <w:p>
            <w:pPr>
              <w:ind w:left="160"/>
              <w:spacing w:after="0"/>
              <w:rPr>
                <w:sz w:val="20"/>
                <w:szCs w:val="20"/>
                <w:color w:val="auto"/>
              </w:rPr>
            </w:pPr>
            <w:r>
              <w:rPr>
                <w:rFonts w:ascii="Arial" w:cs="Arial" w:eastAsia="Arial" w:hAnsi="Arial"/>
                <w:sz w:val="18"/>
                <w:szCs w:val="18"/>
                <w:color w:val="auto"/>
              </w:rPr>
              <w:t>Discretionary investments</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Seed capital</w:t>
            </w: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96"/>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868.7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partnerships and other investments held at fair value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Any losses arising from the change in fair value of investments in T. Rowe Price products would result in a corresponding decrease, net of tax, in our net income attributable to T. Rowe Price Group. The direct investment in consolidated T. Rowe Price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 Any losses arising from the change in fair value of our direct investments in consolidated T. Rowe Price investment products would also result in a corresponding decrease, net of tax, in our net income attributable to T. Rowe Price Group. Further, we have investments in our portfolio that are used to economically hedge the change in our supplemental savings plan liability. Any gains or losses that would impact our net income attributable to T. Rowe Price Group result from any ineffectiveness of this economic hedge to the change in the supplemental savings plan liability.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March 31, 2020. Based on that evaluation, our principal executive and principal financial officers have concluded that our disclosure controls and procedures as of March 31, 2020,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33" w:name="page34"/>
    <w:bookmarkEnd w:id="33"/>
    <w:p>
      <w:pPr>
        <w:ind w:right="100"/>
        <w:spacing w:after="0" w:line="261" w:lineRule="auto"/>
        <w:rPr>
          <w:sz w:val="20"/>
          <w:szCs w:val="20"/>
          <w:color w:val="auto"/>
        </w:rPr>
      </w:pPr>
      <w:r>
        <w:rPr>
          <w:rFonts w:ascii="Arial" w:cs="Arial" w:eastAsia="Arial" w:hAnsi="Arial"/>
          <w:sz w:val="18"/>
          <w:szCs w:val="18"/>
          <w:color w:val="auto"/>
        </w:rPr>
        <w:t>principal executive and principal financial officers, or persons performing similar functions, as appropriate to allow timely decisions regarding required disclosure.</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2020, and has concluded that there was no change during the first quarter of 2020 that has materially affected, or is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matter has been certified as a class action. T. Rowe Price believes the claims are without merit and is vigorously defending the action. This matter is in the expert discovery phase of litigation and we cannot predict the eventual outcome, or whether it will have a material negative impact on our financial results, or estimate the possible loss or range of loss that may arise from any negative outcome.</w:t>
      </w:r>
    </w:p>
    <w:p>
      <w:pPr>
        <w:spacing w:after="0" w:line="205"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 Rowe Price believes the claims are without merit and is vigorously defending the action. This matter is in the discovery phase of litigation and we cannot predict the eventual outcome, or whether it will have a material negative impact on our financial results, or estimate the possible loss or range of loss that may arise from any negative outcome.</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risk factors appears in Item 1A. of our Annual Report on Form 10-K for the fiscal year ended December 31,</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2019 filed with the SEC on February 13, 2020. The following risk factor has occurred since previously reporting our risk factors in Item 1A. of our Annual Report on Form 10-K for the fiscal year ended December 31, 2019.</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financial condition, and results of operation may be adversely affected by the recent coronavirus outbreak.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Beginning in early 2020, global financial markets have been monitoring and reacting to the novel coronavirus pandemic. The spread of the coronavirus has created significant volatility, uncertainty and economic disruption to the global economy and may impact our business, financial condition and results of operations. In particular global financial markets have seen increased volatility and significant changes in the value of investments. If the value of our </w:t>
      </w:r>
      <w:r>
        <w:rPr>
          <w:rFonts w:ascii="Arial" w:cs="Arial" w:eastAsia="Arial" w:hAnsi="Arial"/>
          <w:sz w:val="18"/>
          <w:szCs w:val="18"/>
          <w:color w:val="212529"/>
        </w:rPr>
        <w:t>assets under our management decreases, our revenue and operating results could be materially</w:t>
      </w:r>
      <w:r>
        <w:rPr>
          <w:rFonts w:ascii="Arial" w:cs="Arial" w:eastAsia="Arial" w:hAnsi="Arial"/>
          <w:sz w:val="18"/>
          <w:szCs w:val="18"/>
          <w:color w:val="auto"/>
        </w:rPr>
        <w:t xml:space="preserve"> </w:t>
      </w:r>
      <w:r>
        <w:rPr>
          <w:rFonts w:ascii="Arial" w:cs="Arial" w:eastAsia="Arial" w:hAnsi="Arial"/>
          <w:sz w:val="18"/>
          <w:szCs w:val="18"/>
          <w:color w:val="212529"/>
        </w:rPr>
        <w:t>impacted. Furthermore, w</w:t>
      </w:r>
      <w:r>
        <w:rPr>
          <w:rFonts w:ascii="Arial" w:cs="Arial" w:eastAsia="Arial" w:hAnsi="Arial"/>
          <w:sz w:val="18"/>
          <w:szCs w:val="18"/>
          <w:color w:val="000000"/>
        </w:rPr>
        <w:t>hile we have in place robust and well-established business continuity plans that address the potential impact to our</w:t>
      </w:r>
      <w:r>
        <w:rPr>
          <w:rFonts w:ascii="Arial" w:cs="Arial" w:eastAsia="Arial" w:hAnsi="Arial"/>
          <w:sz w:val="18"/>
          <w:szCs w:val="18"/>
          <w:color w:val="212529"/>
        </w:rPr>
        <w:t xml:space="preserve"> </w:t>
      </w:r>
      <w:r>
        <w:rPr>
          <w:rFonts w:ascii="Arial" w:cs="Arial" w:eastAsia="Arial" w:hAnsi="Arial"/>
          <w:sz w:val="18"/>
          <w:szCs w:val="18"/>
          <w:color w:val="000000"/>
        </w:rPr>
        <w:t>associates and our facilities, and a comprehensive suite of technologies which enable our associates to work remotely and conduct business, no assurance can be given that the steps we have taken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t>will continue to be effective or appropriate. In the event that our associates become incapacitated by the coronavirus, our business operations may be impacted, which could lead to reputational and financial harm. Since our revenue is based on the market value and composition of the assets under our management, the ultimate impact on global financial markets and our clients’ decisions related to this event could adversely affect the Company’s revenue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2020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3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3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3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r>
      <w:tr>
        <w:trPr>
          <w:trHeight w:val="249"/>
        </w:trPr>
        <w:tc>
          <w:tcPr>
            <w:tcW w:w="36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January</w:t>
            </w:r>
          </w:p>
        </w:tc>
        <w:tc>
          <w:tcPr>
            <w:tcW w:w="1800" w:type="dxa"/>
            <w:vAlign w:val="bottom"/>
          </w:tcPr>
          <w:p>
            <w:pPr>
              <w:jc w:val="right"/>
              <w:ind w:right="36"/>
              <w:spacing w:after="0"/>
              <w:rPr>
                <w:sz w:val="20"/>
                <w:szCs w:val="20"/>
                <w:color w:val="auto"/>
              </w:rPr>
            </w:pPr>
            <w:r>
              <w:rPr>
                <w:rFonts w:ascii="Arial" w:cs="Arial" w:eastAsia="Arial" w:hAnsi="Arial"/>
                <w:sz w:val="18"/>
                <w:szCs w:val="18"/>
                <w:color w:val="auto"/>
              </w:rPr>
              <w:t>264,939</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129.26</w:t>
            </w:r>
          </w:p>
        </w:tc>
        <w:tc>
          <w:tcPr>
            <w:tcW w:w="100" w:type="dxa"/>
            <w:vAlign w:val="bottom"/>
          </w:tcPr>
          <w:p>
            <w:pPr>
              <w:spacing w:after="0"/>
              <w:rPr>
                <w:sz w:val="21"/>
                <w:szCs w:val="21"/>
                <w:color w:val="auto"/>
              </w:rPr>
            </w:pPr>
          </w:p>
        </w:tc>
        <w:tc>
          <w:tcPr>
            <w:tcW w:w="1900" w:type="dxa"/>
            <w:vAlign w:val="bottom"/>
          </w:tcPr>
          <w:p>
            <w:pPr>
              <w:jc w:val="right"/>
              <w:ind w:right="19"/>
              <w:spacing w:after="0"/>
              <w:rPr>
                <w:sz w:val="20"/>
                <w:szCs w:val="20"/>
                <w:color w:val="auto"/>
              </w:rPr>
            </w:pPr>
            <w:r>
              <w:rPr>
                <w:rFonts w:ascii="Arial" w:cs="Arial" w:eastAsia="Arial" w:hAnsi="Arial"/>
                <w:sz w:val="18"/>
                <w:szCs w:val="18"/>
                <w:color w:val="auto"/>
              </w:rPr>
              <w:t>51,645</w:t>
            </w:r>
          </w:p>
        </w:tc>
        <w:tc>
          <w:tcPr>
            <w:tcW w:w="1900" w:type="dxa"/>
            <w:vAlign w:val="bottom"/>
            <w:gridSpan w:val="2"/>
          </w:tcPr>
          <w:p>
            <w:pPr>
              <w:jc w:val="right"/>
              <w:ind w:right="28"/>
              <w:spacing w:after="0"/>
              <w:rPr>
                <w:sz w:val="20"/>
                <w:szCs w:val="20"/>
                <w:color w:val="auto"/>
              </w:rPr>
            </w:pPr>
            <w:r>
              <w:rPr>
                <w:rFonts w:ascii="Arial" w:cs="Arial" w:eastAsia="Arial" w:hAnsi="Arial"/>
                <w:sz w:val="18"/>
                <w:szCs w:val="18"/>
                <w:color w:val="auto"/>
              </w:rPr>
              <w:t>17,323,402</w:t>
            </w:r>
          </w:p>
        </w:tc>
      </w:tr>
      <w:tr>
        <w:trPr>
          <w:trHeight w:val="277"/>
        </w:trPr>
        <w:tc>
          <w:tcPr>
            <w:tcW w:w="3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February</w:t>
            </w:r>
          </w:p>
        </w:tc>
        <w:tc>
          <w:tcPr>
            <w:tcW w:w="1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1,325,194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125.41</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1,190,000</w:t>
            </w:r>
          </w:p>
        </w:tc>
        <w:tc>
          <w:tcPr>
            <w:tcW w:w="1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16,133,402</w:t>
            </w:r>
          </w:p>
        </w:tc>
      </w:tr>
      <w:tr>
        <w:trPr>
          <w:trHeight w:val="263"/>
        </w:trPr>
        <w:tc>
          <w:tcPr>
            <w:tcW w:w="36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March</w:t>
            </w:r>
          </w:p>
        </w:tc>
        <w:tc>
          <w:tcPr>
            <w:tcW w:w="18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7,100,681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103.33</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7,092,342</w:t>
            </w:r>
          </w:p>
        </w:tc>
        <w:tc>
          <w:tcPr>
            <w:tcW w:w="190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24,041,060</w:t>
            </w:r>
          </w:p>
        </w:tc>
      </w:tr>
      <w:tr>
        <w:trPr>
          <w:trHeight w:val="257"/>
        </w:trPr>
        <w:tc>
          <w:tcPr>
            <w:tcW w:w="3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1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8,690,814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107.49</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8,333,987</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2020, 356,827 were related to shares surrendered in connection with employee stock option exercises and no shares were withheld to cover tax withholdings associated with the vesting of restricted stock awards.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98"/>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3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Additional Shares</w:t>
            </w:r>
          </w:p>
        </w:tc>
        <w:tc>
          <w:tcPr>
            <w:tcW w:w="2020" w:type="dxa"/>
            <w:vAlign w:val="bottom"/>
            <w:gridSpan w:val="2"/>
            <w:shd w:val="clear" w:color="auto" w:fill="CCEEFF"/>
          </w:tcPr>
          <w:p>
            <w:pPr>
              <w:ind w:left="42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18"/>
              <w:spacing w:after="0"/>
              <w:rPr>
                <w:sz w:val="20"/>
                <w:szCs w:val="20"/>
                <w:color w:val="auto"/>
              </w:rPr>
            </w:pPr>
            <w:r>
              <w:rPr>
                <w:rFonts w:ascii="Arial" w:cs="Arial" w:eastAsia="Arial" w:hAnsi="Arial"/>
                <w:sz w:val="14"/>
                <w:szCs w:val="14"/>
                <w:b w:val="1"/>
                <w:bCs w:val="1"/>
                <w:color w:val="auto"/>
              </w:rPr>
              <w:t>Shares that May Yet Be</w:t>
            </w:r>
          </w:p>
        </w:tc>
      </w:tr>
      <w:tr>
        <w:trPr>
          <w:trHeight w:val="196"/>
        </w:trPr>
        <w:tc>
          <w:tcPr>
            <w:tcW w:w="35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4"/>
                <w:szCs w:val="14"/>
                <w:b w:val="1"/>
                <w:bCs w:val="1"/>
                <w:color w:val="auto"/>
              </w:rPr>
              <w:t>Authorization Dates</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4"/>
                <w:szCs w:val="14"/>
                <w:b w:val="1"/>
                <w:bCs w:val="1"/>
                <w:color w:val="auto"/>
              </w:rPr>
              <w:t>1/1/2020</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4"/>
                <w:szCs w:val="14"/>
                <w:b w:val="1"/>
                <w:bCs w:val="1"/>
                <w:color w:val="auto"/>
              </w:rPr>
              <w:t>Authorized</w:t>
            </w:r>
          </w:p>
        </w:tc>
        <w:tc>
          <w:tcPr>
            <w:tcW w:w="100" w:type="dxa"/>
            <w:vAlign w:val="bottom"/>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4"/>
                <w:szCs w:val="14"/>
                <w:b w:val="1"/>
                <w:bCs w:val="1"/>
                <w:color w:val="auto"/>
              </w:rPr>
              <w:t>Purchased at 3/31/2020</w:t>
            </w:r>
          </w:p>
        </w:tc>
      </w:tr>
      <w:tr>
        <w:trPr>
          <w:trHeight w:val="249"/>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April 2018</w:t>
            </w: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7,375,047</w:t>
            </w:r>
          </w:p>
        </w:tc>
        <w:tc>
          <w:tcPr>
            <w:tcW w:w="12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(7,375,047)</w:t>
            </w:r>
          </w:p>
        </w:tc>
        <w:tc>
          <w:tcPr>
            <w:tcW w:w="120" w:type="dxa"/>
            <w:vAlign w:val="bottom"/>
          </w:tcPr>
          <w:p>
            <w:pPr>
              <w:spacing w:after="0"/>
              <w:rPr>
                <w:sz w:val="21"/>
                <w:szCs w:val="21"/>
                <w:color w:val="auto"/>
              </w:rPr>
            </w:pPr>
          </w:p>
        </w:tc>
        <w:tc>
          <w:tcPr>
            <w:tcW w:w="17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7"/>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2019</w:t>
            </w:r>
          </w:p>
        </w:tc>
        <w:tc>
          <w:tcPr>
            <w:tcW w:w="1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(958,940)</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9,041,060</w:t>
            </w:r>
          </w:p>
        </w:tc>
      </w:tr>
      <w:tr>
        <w:trPr>
          <w:trHeight w:val="264"/>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March 2020</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22"/>
                <w:szCs w:val="22"/>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8"/>
              <w:spacing w:after="0"/>
              <w:rPr>
                <w:sz w:val="20"/>
                <w:szCs w:val="20"/>
                <w:color w:val="auto"/>
              </w:rPr>
            </w:pPr>
            <w:r>
              <w:rPr>
                <w:rFonts w:ascii="Arial" w:cs="Arial" w:eastAsia="Arial" w:hAnsi="Arial"/>
                <w:sz w:val="18"/>
                <w:szCs w:val="18"/>
                <w:color w:val="auto"/>
              </w:rPr>
              <w:t>15,000,000</w:t>
            </w:r>
          </w:p>
        </w:tc>
      </w:tr>
      <w:tr>
        <w:trPr>
          <w:trHeight w:val="250"/>
        </w:trPr>
        <w:tc>
          <w:tcPr>
            <w:tcW w:w="3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17,375,047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(8,333,987)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24,041,060</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On April 28, 2020, we issued an earnings release reporting our results of operations for the first quarter of 2020. A copy of that earnings release is furnished herewith as Exhibit 99.1. This information shall not be deemed filed for purposes of Section 18 of the Securities Exchange Act of 1934, nor shall it be deemed incorporated by reference in any filing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3(i)</w:t>
            </w:r>
          </w:p>
        </w:tc>
        <w:tc>
          <w:tcPr>
            <w:tcW w:w="9760" w:type="dxa"/>
            <w:vAlign w:val="bottom"/>
          </w:tcPr>
          <w:p>
            <w:pPr>
              <w:ind w:left="580"/>
              <w:spacing w:after="0"/>
              <w:rPr>
                <w:rFonts w:ascii="Arial" w:cs="Arial" w:eastAsia="Arial" w:hAnsi="Arial"/>
                <w:sz w:val="18"/>
                <w:szCs w:val="18"/>
                <w:color w:val="auto"/>
                <w:w w:val="99"/>
              </w:rPr>
            </w:pPr>
            <w:hyperlink r:id="rId67">
              <w:r>
                <w:rPr>
                  <w:rFonts w:ascii="Arial" w:cs="Arial" w:eastAsia="Arial" w:hAnsi="Arial"/>
                  <w:sz w:val="18"/>
                  <w:szCs w:val="18"/>
                  <w:color w:val="auto"/>
                  <w:w w:val="99"/>
                </w:rPr>
                <w:t>Charter of T. Rowe Price Group, Inc., as reflected by Articles of Restatement dated June 20, 2018. (Incorporated by</w:t>
              </w:r>
            </w:hyperlink>
          </w:p>
        </w:tc>
      </w:tr>
      <w:tr>
        <w:trPr>
          <w:trHeight w:val="217"/>
        </w:trPr>
        <w:tc>
          <w:tcPr>
            <w:tcW w:w="1100" w:type="dxa"/>
            <w:vAlign w:val="bottom"/>
          </w:tcPr>
          <w:p>
            <w:pPr>
              <w:spacing w:after="0"/>
              <w:rPr>
                <w:sz w:val="18"/>
                <w:szCs w:val="18"/>
                <w:color w:val="auto"/>
              </w:rPr>
            </w:pPr>
          </w:p>
        </w:tc>
        <w:tc>
          <w:tcPr>
            <w:tcW w:w="9760" w:type="dxa"/>
            <w:vAlign w:val="bottom"/>
          </w:tcPr>
          <w:p>
            <w:pPr>
              <w:ind w:left="580"/>
              <w:spacing w:after="0"/>
              <w:rPr>
                <w:rFonts w:ascii="Arial" w:cs="Arial" w:eastAsia="Arial" w:hAnsi="Arial"/>
                <w:sz w:val="18"/>
                <w:szCs w:val="18"/>
                <w:color w:val="auto"/>
              </w:rPr>
            </w:pPr>
            <w:hyperlink r:id="rId67">
              <w:r>
                <w:rPr>
                  <w:rFonts w:ascii="Arial" w:cs="Arial" w:eastAsia="Arial" w:hAnsi="Arial"/>
                  <w:sz w:val="18"/>
                  <w:szCs w:val="18"/>
                  <w:color w:val="auto"/>
                </w:rPr>
                <w:t>reference from Form 10-Q Quarterly Report filed on July 25, 2018.)</w:t>
              </w:r>
            </w:hyperlink>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3(ii)</w:t>
            </w:r>
          </w:p>
        </w:tc>
        <w:tc>
          <w:tcPr>
            <w:tcW w:w="9760" w:type="dxa"/>
            <w:vAlign w:val="bottom"/>
          </w:tcPr>
          <w:p>
            <w:pPr>
              <w:ind w:left="580"/>
              <w:spacing w:after="0"/>
              <w:rPr>
                <w:rFonts w:ascii="Arial" w:cs="Arial" w:eastAsia="Arial" w:hAnsi="Arial"/>
                <w:sz w:val="18"/>
                <w:szCs w:val="18"/>
                <w:color w:val="auto"/>
              </w:rPr>
            </w:pPr>
            <w:hyperlink r:id="rId68">
              <w:r>
                <w:rPr>
                  <w:rFonts w:ascii="Arial" w:cs="Arial" w:eastAsia="Arial" w:hAnsi="Arial"/>
                  <w:sz w:val="18"/>
                  <w:szCs w:val="18"/>
                  <w:color w:val="auto"/>
                </w:rPr>
                <w:t>Amended and Restated By-Laws of T. Rowe Price Group, Inc. as of February 12, 2019. (Incorporated by reference</w:t>
              </w:r>
            </w:hyperlink>
          </w:p>
        </w:tc>
      </w:tr>
      <w:tr>
        <w:trPr>
          <w:trHeight w:val="217"/>
        </w:trPr>
        <w:tc>
          <w:tcPr>
            <w:tcW w:w="1100" w:type="dxa"/>
            <w:vAlign w:val="bottom"/>
          </w:tcPr>
          <w:p>
            <w:pPr>
              <w:spacing w:after="0"/>
              <w:rPr>
                <w:sz w:val="18"/>
                <w:szCs w:val="18"/>
                <w:color w:val="auto"/>
              </w:rPr>
            </w:pPr>
          </w:p>
        </w:tc>
        <w:tc>
          <w:tcPr>
            <w:tcW w:w="9760" w:type="dxa"/>
            <w:vAlign w:val="bottom"/>
          </w:tcPr>
          <w:p>
            <w:pPr>
              <w:ind w:left="580"/>
              <w:spacing w:after="0"/>
              <w:rPr>
                <w:rFonts w:ascii="Arial" w:cs="Arial" w:eastAsia="Arial" w:hAnsi="Arial"/>
                <w:sz w:val="18"/>
                <w:szCs w:val="18"/>
                <w:color w:val="auto"/>
              </w:rPr>
            </w:pPr>
            <w:hyperlink r:id="rId68">
              <w:r>
                <w:rPr>
                  <w:rFonts w:ascii="Arial" w:cs="Arial" w:eastAsia="Arial" w:hAnsi="Arial"/>
                  <w:sz w:val="18"/>
                  <w:szCs w:val="18"/>
                  <w:color w:val="auto"/>
                </w:rPr>
                <w:t>from Form 8-K Current Report filed on February 13, 2019.)</w:t>
              </w:r>
            </w:hyperlink>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15</w:t>
            </w:r>
          </w:p>
        </w:tc>
        <w:tc>
          <w:tcPr>
            <w:tcW w:w="9760" w:type="dxa"/>
            <w:vAlign w:val="bottom"/>
          </w:tcPr>
          <w:p>
            <w:pPr>
              <w:ind w:left="580"/>
              <w:spacing w:after="0"/>
              <w:rPr>
                <w:rFonts w:ascii="Arial" w:cs="Arial" w:eastAsia="Arial" w:hAnsi="Arial"/>
                <w:sz w:val="18"/>
                <w:szCs w:val="18"/>
                <w:color w:val="auto"/>
              </w:rPr>
            </w:pPr>
            <w:hyperlink w:anchor="page38">
              <w:r>
                <w:rPr>
                  <w:rFonts w:ascii="Arial" w:cs="Arial" w:eastAsia="Arial" w:hAnsi="Arial"/>
                  <w:sz w:val="18"/>
                  <w:szCs w:val="18"/>
                  <w:color w:val="auto"/>
                </w:rPr>
                <w:t>Letter from KPMG LLP, independent registered public accounting firm, re unaudited interim financial information.</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31(i).1</w:t>
            </w:r>
          </w:p>
        </w:tc>
        <w:tc>
          <w:tcPr>
            <w:tcW w:w="9760" w:type="dxa"/>
            <w:vAlign w:val="bottom"/>
          </w:tcPr>
          <w:p>
            <w:pPr>
              <w:ind w:left="580"/>
              <w:spacing w:after="0"/>
              <w:rPr>
                <w:rFonts w:ascii="Arial" w:cs="Arial" w:eastAsia="Arial" w:hAnsi="Arial"/>
                <w:sz w:val="18"/>
                <w:szCs w:val="18"/>
                <w:color w:val="auto"/>
              </w:rPr>
            </w:pPr>
            <w:hyperlink w:anchor="page39">
              <w:r>
                <w:rPr>
                  <w:rFonts w:ascii="Arial" w:cs="Arial" w:eastAsia="Arial" w:hAnsi="Arial"/>
                  <w:sz w:val="18"/>
                  <w:szCs w:val="18"/>
                  <w:color w:val="auto"/>
                </w:rPr>
                <w:t>Rule 13a-14(a) Certification of Principal Executive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31(i).2</w:t>
            </w:r>
          </w:p>
        </w:tc>
        <w:tc>
          <w:tcPr>
            <w:tcW w:w="9760" w:type="dxa"/>
            <w:vAlign w:val="bottom"/>
          </w:tcPr>
          <w:p>
            <w:pPr>
              <w:ind w:left="580"/>
              <w:spacing w:after="0"/>
              <w:rPr>
                <w:rFonts w:ascii="Arial" w:cs="Arial" w:eastAsia="Arial" w:hAnsi="Arial"/>
                <w:sz w:val="18"/>
                <w:szCs w:val="18"/>
                <w:color w:val="auto"/>
              </w:rPr>
            </w:pPr>
            <w:hyperlink w:anchor="page40">
              <w:r>
                <w:rPr>
                  <w:rFonts w:ascii="Arial" w:cs="Arial" w:eastAsia="Arial" w:hAnsi="Arial"/>
                  <w:sz w:val="18"/>
                  <w:szCs w:val="18"/>
                  <w:color w:val="auto"/>
                </w:rPr>
                <w:t>Rule 13a-14(a) Certification of Principal Financial Officer.</w:t>
              </w:r>
            </w:hyperlink>
          </w:p>
        </w:tc>
      </w:tr>
      <w:tr>
        <w:trPr>
          <w:trHeight w:val="392"/>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9760" w:type="dxa"/>
            <w:vAlign w:val="bottom"/>
          </w:tcPr>
          <w:p>
            <w:pPr>
              <w:ind w:left="580"/>
              <w:spacing w:after="0"/>
              <w:rPr>
                <w:rFonts w:ascii="Arial" w:cs="Arial" w:eastAsia="Arial" w:hAnsi="Arial"/>
                <w:sz w:val="18"/>
                <w:szCs w:val="18"/>
                <w:color w:val="auto"/>
              </w:rPr>
            </w:pPr>
            <w:hyperlink w:anchor="page41">
              <w:r>
                <w:rPr>
                  <w:rFonts w:ascii="Arial" w:cs="Arial" w:eastAsia="Arial" w:hAnsi="Arial"/>
                  <w:sz w:val="18"/>
                  <w:szCs w:val="18"/>
                  <w:color w:val="auto"/>
                </w:rPr>
                <w:t>Section 1350 Certifications.</w:t>
              </w:r>
            </w:hyperlink>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99.1</w:t>
            </w:r>
          </w:p>
        </w:tc>
        <w:tc>
          <w:tcPr>
            <w:tcW w:w="9760" w:type="dxa"/>
            <w:vAlign w:val="bottom"/>
          </w:tcPr>
          <w:p>
            <w:pPr>
              <w:ind w:left="580"/>
              <w:spacing w:after="0"/>
              <w:rPr>
                <w:rFonts w:ascii="Arial" w:cs="Arial" w:eastAsia="Arial" w:hAnsi="Arial"/>
                <w:sz w:val="18"/>
                <w:szCs w:val="18"/>
                <w:color w:val="auto"/>
              </w:rPr>
            </w:pPr>
            <w:hyperlink w:anchor="page42">
              <w:r>
                <w:rPr>
                  <w:rFonts w:ascii="Arial" w:cs="Arial" w:eastAsia="Arial" w:hAnsi="Arial"/>
                  <w:sz w:val="18"/>
                  <w:szCs w:val="18"/>
                  <w:color w:val="auto"/>
                </w:rPr>
                <w:t>Earnings release issued April 28, 2020, reporting our results of operations for the first quarter of 2020.</w:t>
              </w:r>
            </w:hyperlink>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tcPr>
          <w:p>
            <w:pPr>
              <w:ind w:left="580"/>
              <w:spacing w:after="0"/>
              <w:rPr>
                <w:sz w:val="20"/>
                <w:szCs w:val="20"/>
                <w:color w:val="auto"/>
              </w:rPr>
            </w:pPr>
            <w:r>
              <w:rPr>
                <w:rFonts w:ascii="Arial" w:cs="Arial" w:eastAsia="Arial" w:hAnsi="Arial"/>
                <w:sz w:val="18"/>
                <w:szCs w:val="18"/>
                <w:color w:val="auto"/>
                <w:w w:val="99"/>
              </w:rPr>
              <w:t>The following series of unaudited XBRL-formatted documents are collectively included herewith as Exhibit 101. The</w:t>
            </w:r>
          </w:p>
        </w:tc>
      </w:tr>
      <w:tr>
        <w:trPr>
          <w:trHeight w:val="203"/>
        </w:trPr>
        <w:tc>
          <w:tcPr>
            <w:tcW w:w="1100" w:type="dxa"/>
            <w:vAlign w:val="bottom"/>
          </w:tcPr>
          <w:p>
            <w:pPr>
              <w:spacing w:after="0"/>
              <w:rPr>
                <w:sz w:val="17"/>
                <w:szCs w:val="17"/>
                <w:color w:val="auto"/>
              </w:rPr>
            </w:pPr>
          </w:p>
        </w:tc>
        <w:tc>
          <w:tcPr>
            <w:tcW w:w="9760" w:type="dxa"/>
            <w:vAlign w:val="bottom"/>
          </w:tcPr>
          <w:p>
            <w:pPr>
              <w:ind w:left="580"/>
              <w:spacing w:after="0" w:line="202" w:lineRule="exact"/>
              <w:rPr>
                <w:sz w:val="20"/>
                <w:szCs w:val="20"/>
                <w:color w:val="auto"/>
              </w:rPr>
            </w:pPr>
            <w:r>
              <w:rPr>
                <w:rFonts w:ascii="Arial" w:cs="Arial" w:eastAsia="Arial" w:hAnsi="Arial"/>
                <w:sz w:val="18"/>
                <w:szCs w:val="18"/>
                <w:color w:val="auto"/>
              </w:rPr>
              <w:t>financial information is extracted from T. Rowe Price Group’s unaudited condensed consolidated interim financial</w:t>
            </w:r>
          </w:p>
        </w:tc>
      </w:tr>
      <w:tr>
        <w:trPr>
          <w:trHeight w:val="217"/>
        </w:trPr>
        <w:tc>
          <w:tcPr>
            <w:tcW w:w="1100" w:type="dxa"/>
            <w:vAlign w:val="bottom"/>
          </w:tcPr>
          <w:p>
            <w:pPr>
              <w:spacing w:after="0"/>
              <w:rPr>
                <w:sz w:val="18"/>
                <w:szCs w:val="18"/>
                <w:color w:val="auto"/>
              </w:rPr>
            </w:pPr>
          </w:p>
        </w:tc>
        <w:tc>
          <w:tcPr>
            <w:tcW w:w="9760" w:type="dxa"/>
            <w:vAlign w:val="bottom"/>
          </w:tcPr>
          <w:p>
            <w:pPr>
              <w:ind w:left="580"/>
              <w:spacing w:after="0"/>
              <w:rPr>
                <w:sz w:val="20"/>
                <w:szCs w:val="20"/>
                <w:color w:val="auto"/>
              </w:rPr>
            </w:pPr>
            <w:r>
              <w:rPr>
                <w:rFonts w:ascii="Arial" w:cs="Arial" w:eastAsia="Arial" w:hAnsi="Arial"/>
                <w:sz w:val="18"/>
                <w:szCs w:val="18"/>
                <w:color w:val="auto"/>
              </w:rPr>
              <w:t>statements and notes that are included in this Form 10-Q Report.</w:t>
            </w:r>
          </w:p>
        </w:tc>
      </w:tr>
    </w:tbl>
    <w:p>
      <w:pPr>
        <w:spacing w:after="0" w:line="175" w:lineRule="exact"/>
        <w:rPr>
          <w:sz w:val="20"/>
          <w:szCs w:val="20"/>
          <w:color w:val="auto"/>
        </w:rPr>
      </w:pPr>
    </w:p>
    <w:p>
      <w:pPr>
        <w:sectPr>
          <w:pgSz w:w="11900" w:h="16838" w:orient="portrait"/>
          <w:cols w:equalWidth="0" w:num="1">
            <w:col w:w="11120"/>
          </w:cols>
          <w:pgMar w:left="320" w:top="549" w:right="459" w:bottom="1440" w:gutter="0" w:footer="0" w:header="0"/>
        </w:sectPr>
      </w:pPr>
    </w:p>
    <w:p>
      <w:pPr>
        <w:ind w:left="40"/>
        <w:spacing w:after="0"/>
        <w:rPr>
          <w:sz w:val="20"/>
          <w:szCs w:val="20"/>
          <w:color w:val="auto"/>
        </w:rPr>
      </w:pPr>
      <w:r>
        <w:rPr>
          <w:rFonts w:ascii="Arial" w:cs="Arial" w:eastAsia="Arial" w:hAnsi="Arial"/>
          <w:sz w:val="18"/>
          <w:szCs w:val="18"/>
          <w:color w:val="auto"/>
        </w:rPr>
        <w:t>101.INS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line="246"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1000" w:space="720"/>
            <w:col w:w="9400"/>
          </w:cols>
          <w:pgMar w:left="320" w:top="549" w:right="45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49" w:right="459" w:bottom="1440" w:gutter="0" w:footer="0" w:header="0"/>
          <w:type w:val="continuous"/>
        </w:sectPr>
      </w:pPr>
    </w:p>
    <w:bookmarkStart w:id="36" w:name="page37"/>
    <w:bookmarkEnd w:id="3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28,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120"/>
          </w:cols>
          <w:pgMar w:left="320" w:top="549" w:right="459" w:bottom="1440" w:gutter="0" w:footer="0" w:header="0"/>
        </w:sectPr>
      </w:pPr>
    </w:p>
    <w:bookmarkStart w:id="37" w:name="page38"/>
    <w:bookmarkEnd w:id="37"/>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1"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571" w:right="3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4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and 333-217483.</w:t>
      </w:r>
    </w:p>
    <w:p>
      <w:pPr>
        <w:spacing w:after="0" w:line="19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28, 2020 related to our review of interim financial information.</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571" w:right="339" w:bottom="1440" w:gutter="0" w:footer="0" w:header="0"/>
          <w:type w:val="continuous"/>
        </w:sectPr>
      </w:pPr>
    </w:p>
    <w:bookmarkStart w:id="38" w:name="page39"/>
    <w:bookmarkEnd w:id="38"/>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2020 of T. Rowe Price Group, Inc.;</w:t>
      </w:r>
    </w:p>
    <w:p>
      <w:pPr>
        <w:spacing w:after="0" w:line="171" w:lineRule="exact"/>
        <w:rPr>
          <w:rFonts w:ascii="Arial" w:cs="Arial" w:eastAsia="Arial" w:hAnsi="Arial"/>
          <w:sz w:val="18"/>
          <w:szCs w:val="18"/>
          <w:color w:val="auto"/>
        </w:rPr>
      </w:pPr>
    </w:p>
    <w:p>
      <w:pPr>
        <w:ind w:left="180" w:right="200" w:hanging="172"/>
        <w:spacing w:after="0" w:line="256"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300" w:hanging="172"/>
        <w:spacing w:after="0" w:line="291"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180" w:right="280" w:hanging="172"/>
        <w:spacing w:after="0" w:line="265"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80" w:right="280" w:firstLine="71"/>
        <w:spacing w:after="0" w:line="256"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40" w:firstLine="71"/>
        <w:spacing w:after="0" w:line="256"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hanging="172"/>
        <w:spacing w:after="0" w:line="291"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80" w:right="380" w:firstLine="71"/>
        <w:spacing w:after="0" w:line="261"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80" w:right="620" w:firstLine="71"/>
        <w:spacing w:after="0" w:line="261" w:lineRule="auto"/>
        <w:tabs>
          <w:tab w:leader="none" w:pos="5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 of Directors</w:t>
      </w:r>
    </w:p>
    <w:p>
      <w:pPr>
        <w:sectPr>
          <w:pgSz w:w="11900" w:h="16838" w:orient="portrait"/>
          <w:cols w:equalWidth="0" w:num="1">
            <w:col w:w="11220"/>
          </w:cols>
          <w:pgMar w:left="320" w:top="652" w:right="359" w:bottom="1440" w:gutter="0" w:footer="0" w:header="0"/>
        </w:sectPr>
      </w:pPr>
    </w:p>
    <w:bookmarkStart w:id="39" w:name="page40"/>
    <w:bookmarkEnd w:id="39"/>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2020 of T. Rowe Price Group, Inc.;</w:t>
      </w:r>
    </w:p>
    <w:p>
      <w:pPr>
        <w:spacing w:after="0" w:line="171" w:lineRule="exact"/>
        <w:rPr>
          <w:rFonts w:ascii="Arial" w:cs="Arial" w:eastAsia="Arial" w:hAnsi="Arial"/>
          <w:sz w:val="18"/>
          <w:szCs w:val="18"/>
          <w:color w:val="auto"/>
        </w:rPr>
      </w:pPr>
    </w:p>
    <w:p>
      <w:pPr>
        <w:ind w:left="180" w:right="200" w:hanging="172"/>
        <w:spacing w:after="0" w:line="256"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300" w:hanging="172"/>
        <w:spacing w:after="0" w:line="291"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180" w:right="280" w:hanging="172"/>
        <w:spacing w:after="0" w:line="265"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80" w:right="280" w:firstLine="71"/>
        <w:spacing w:after="0" w:line="256"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40" w:firstLine="71"/>
        <w:spacing w:after="0" w:line="256"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80" w:right="200" w:firstLine="71"/>
        <w:spacing w:after="0" w:line="256" w:lineRule="auto"/>
        <w:tabs>
          <w:tab w:leader="none" w:pos="52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left="180" w:right="40" w:firstLine="71"/>
        <w:spacing w:after="0" w:line="256"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hanging="172"/>
        <w:spacing w:after="0" w:line="291"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80" w:right="380" w:firstLine="71"/>
        <w:spacing w:after="0" w:line="261"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80" w:right="620" w:firstLine="71"/>
        <w:spacing w:after="0" w:line="261" w:lineRule="auto"/>
        <w:tabs>
          <w:tab w:leader="none" w:pos="53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652" w:right="359" w:bottom="1440" w:gutter="0" w:footer="0" w:header="0"/>
        </w:sectPr>
      </w:pPr>
    </w:p>
    <w:bookmarkStart w:id="40" w:name="page41"/>
    <w:bookmarkEnd w:id="40"/>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2020, of T. Rowe Price Group, Inc., that:</w:t>
      </w:r>
    </w:p>
    <w:p>
      <w:pPr>
        <w:spacing w:after="0" w:line="144" w:lineRule="exact"/>
        <w:rPr>
          <w:sz w:val="20"/>
          <w:szCs w:val="20"/>
          <w:color w:val="auto"/>
        </w:rPr>
      </w:pPr>
    </w:p>
    <w:p>
      <w:pPr>
        <w:ind w:right="620" w:firstLine="8"/>
        <w:spacing w:after="0" w:line="261"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43" w:lineRule="exact"/>
        <w:rPr>
          <w:rFonts w:ascii="Arial" w:cs="Arial" w:eastAsia="Arial" w:hAnsi="Arial"/>
          <w:sz w:val="18"/>
          <w:szCs w:val="18"/>
          <w:color w:val="auto"/>
        </w:rPr>
      </w:pPr>
    </w:p>
    <w:p>
      <w:pPr>
        <w:ind w:firstLine="8"/>
        <w:spacing w:after="0" w:line="261"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160"/>
          </w:cols>
          <w:pgMar w:left="320" w:top="652" w:right="41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5863590" cy="548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54864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05C3DE"/>
        </w:rPr>
        <w:t>NEWS RELEASE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 ROWE PRICE GROUP REPORTS FIRST QUARTER 2020 RESULTS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BALTIMORE (April 28, 2020) - T. Rowe Price Group, Inc. (NASDAQ-GS: TROW) today reported its results for the first quarter of 2020.</w:t>
      </w:r>
    </w:p>
    <w:p>
      <w:pPr>
        <w:spacing w:after="0" w:line="9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Assets under management end quarter at $1.01 trillion</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Net client outflows of $6.0 billion for Q1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Net revenues of $1.5 billion for Q1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Diluted earnings per common share of $1.41 for Q1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Adjusted non-GAAP diluted earnings per common share of $1.87 for Q1 2020</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Repurchased 8.3 million shares at an average price of $106.43</w:t>
      </w:r>
    </w:p>
    <w:p>
      <w:pPr>
        <w:spacing w:after="0" w:line="111" w:lineRule="exact"/>
        <w:rPr>
          <w:rFonts w:ascii="Arial" w:cs="Arial" w:eastAsia="Arial" w:hAnsi="Arial"/>
          <w:sz w:val="22"/>
          <w:szCs w:val="22"/>
          <w:b w:val="1"/>
          <w:bCs w:val="1"/>
          <w:color w:val="40AEFF"/>
        </w:rPr>
      </w:pPr>
    </w:p>
    <w:p>
      <w:pPr>
        <w:ind w:left="660" w:hanging="328"/>
        <w:spacing w:after="0"/>
        <w:tabs>
          <w:tab w:leader="none" w:pos="660" w:val="left"/>
        </w:tabs>
        <w:numPr>
          <w:ilvl w:val="0"/>
          <w:numId w:val="16"/>
        </w:numPr>
        <w:rPr>
          <w:rFonts w:ascii="Arial" w:cs="Arial" w:eastAsia="Arial" w:hAnsi="Arial"/>
          <w:sz w:val="22"/>
          <w:szCs w:val="22"/>
          <w:b w:val="1"/>
          <w:bCs w:val="1"/>
          <w:color w:val="40AEFF"/>
        </w:rPr>
      </w:pPr>
      <w:r>
        <w:rPr>
          <w:rFonts w:ascii="Arial" w:cs="Arial" w:eastAsia="Arial" w:hAnsi="Arial"/>
          <w:sz w:val="18"/>
          <w:szCs w:val="18"/>
          <w:b w:val="1"/>
          <w:bCs w:val="1"/>
          <w:color w:val="auto"/>
        </w:rPr>
        <w:t>Long-term investment performance remains strong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40575" cy="3789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0575" cy="378904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8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color w:val="auto"/>
              </w:rPr>
              <w:t>(in millions, except per-share data)</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color w:val="auto"/>
              </w:rPr>
              <w:t>3/31/2020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3/31/2019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 change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12/31/2019</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color w:val="auto"/>
              </w:rPr>
              <w:t>% change</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80" w:type="dxa"/>
            <w:vAlign w:val="bottom"/>
            <w:gridSpan w:val="5"/>
          </w:tcPr>
          <w:p>
            <w:pPr>
              <w:ind w:left="40"/>
              <w:spacing w:after="0"/>
              <w:rPr>
                <w:sz w:val="20"/>
                <w:szCs w:val="20"/>
                <w:color w:val="auto"/>
              </w:rPr>
            </w:pPr>
            <w:r>
              <w:rPr>
                <w:rFonts w:ascii="Arial" w:cs="Arial" w:eastAsia="Arial" w:hAnsi="Arial"/>
                <w:sz w:val="15"/>
                <w:szCs w:val="15"/>
                <w:b w:val="1"/>
                <w:bCs w:val="1"/>
                <w:color w:val="auto"/>
              </w:rPr>
              <w:t>U.S. GAAP basis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Investment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1,327.8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1,194.2</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11.2 % $</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1,344.7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680" w:type="dxa"/>
            <w:vAlign w:val="bottom"/>
            <w:gridSpan w:val="5"/>
          </w:tcPr>
          <w:p>
            <w:pPr>
              <w:ind w:left="40"/>
              <w:spacing w:after="0"/>
              <w:rPr>
                <w:sz w:val="20"/>
                <w:szCs w:val="20"/>
                <w:color w:val="auto"/>
              </w:rPr>
            </w:pPr>
            <w:r>
              <w:rPr>
                <w:rFonts w:ascii="Arial" w:cs="Arial" w:eastAsia="Arial" w:hAnsi="Arial"/>
                <w:sz w:val="15"/>
                <w:szCs w:val="15"/>
                <w:color w:val="auto"/>
              </w:rPr>
              <w:t>Net revenues</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1,462.6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1,327.3</w:t>
            </w:r>
          </w:p>
        </w:tc>
        <w:tc>
          <w:tcPr>
            <w:tcW w:w="1400" w:type="dxa"/>
            <w:vAlign w:val="bottom"/>
            <w:gridSpan w:val="4"/>
          </w:tcPr>
          <w:p>
            <w:pPr>
              <w:jc w:val="right"/>
              <w:spacing w:after="0"/>
              <w:rPr>
                <w:sz w:val="20"/>
                <w:szCs w:val="20"/>
                <w:color w:val="auto"/>
              </w:rPr>
            </w:pPr>
            <w:r>
              <w:rPr>
                <w:rFonts w:ascii="Arial" w:cs="Arial" w:eastAsia="Arial" w:hAnsi="Arial"/>
                <w:sz w:val="15"/>
                <w:szCs w:val="15"/>
                <w:color w:val="auto"/>
              </w:rPr>
              <w:t>10.2 % $</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1,468.7</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8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755.4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794.8</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888.4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680" w:type="dxa"/>
            <w:vAlign w:val="bottom"/>
            <w:gridSpan w:val="5"/>
          </w:tcPr>
          <w:p>
            <w:pPr>
              <w:ind w:left="40"/>
              <w:spacing w:after="0"/>
              <w:rPr>
                <w:sz w:val="20"/>
                <w:szCs w:val="20"/>
                <w:color w:val="auto"/>
              </w:rPr>
            </w:pPr>
            <w:r>
              <w:rPr>
                <w:rFonts w:ascii="Arial" w:cs="Arial" w:eastAsia="Arial" w:hAnsi="Arial"/>
                <w:sz w:val="15"/>
                <w:szCs w:val="15"/>
                <w:color w:val="auto"/>
              </w:rPr>
              <w:t>Net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707.2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532.5</w:t>
            </w:r>
          </w:p>
        </w:tc>
        <w:tc>
          <w:tcPr>
            <w:tcW w:w="1400" w:type="dxa"/>
            <w:vAlign w:val="bottom"/>
            <w:gridSpan w:val="4"/>
          </w:tcPr>
          <w:p>
            <w:pPr>
              <w:jc w:val="right"/>
              <w:spacing w:after="0"/>
              <w:rPr>
                <w:sz w:val="20"/>
                <w:szCs w:val="20"/>
                <w:color w:val="auto"/>
              </w:rPr>
            </w:pPr>
            <w:r>
              <w:rPr>
                <w:rFonts w:ascii="Arial" w:cs="Arial" w:eastAsia="Arial" w:hAnsi="Arial"/>
                <w:sz w:val="15"/>
                <w:szCs w:val="15"/>
                <w:color w:val="auto"/>
              </w:rPr>
              <w:t>32.8 % $</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580.3</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21.9 %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5680" w:type="dxa"/>
            <w:vAlign w:val="bottom"/>
            <w:gridSpan w:val="5"/>
            <w:shd w:val="clear" w:color="auto" w:fill="CCEEFF"/>
          </w:tcPr>
          <w:p>
            <w:pPr>
              <w:ind w:left="40"/>
              <w:spacing w:after="0" w:line="92" w:lineRule="exact"/>
              <w:rPr>
                <w:sz w:val="20"/>
                <w:szCs w:val="20"/>
                <w:color w:val="auto"/>
              </w:rPr>
            </w:pPr>
            <w:r>
              <w:rPr>
                <w:rFonts w:ascii="Arial" w:cs="Arial" w:eastAsia="Arial" w:hAnsi="Arial"/>
                <w:sz w:val="10"/>
                <w:szCs w:val="10"/>
                <w:color w:val="auto"/>
              </w:rPr>
              <w:t>Non-operating income (loss)</w:t>
            </w:r>
          </w:p>
        </w:tc>
        <w:tc>
          <w:tcPr>
            <w:tcW w:w="14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(500.3)</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202.8</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jc w:val="right"/>
              <w:ind w:right="158"/>
              <w:spacing w:after="0" w:line="92" w:lineRule="exact"/>
              <w:rPr>
                <w:sz w:val="20"/>
                <w:szCs w:val="20"/>
                <w:color w:val="auto"/>
              </w:rPr>
            </w:pPr>
            <w:r>
              <w:rPr>
                <w:rFonts w:ascii="Arial" w:cs="Arial" w:eastAsia="Arial" w:hAnsi="Arial"/>
                <w:sz w:val="10"/>
                <w:szCs w:val="10"/>
                <w:color w:val="auto"/>
              </w:rPr>
              <w:t>n/m</w:t>
            </w:r>
          </w:p>
        </w:tc>
        <w:tc>
          <w:tcPr>
            <w:tcW w:w="14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7"/>
              <w:spacing w:after="0" w:line="92" w:lineRule="exact"/>
              <w:rPr>
                <w:sz w:val="20"/>
                <w:szCs w:val="20"/>
                <w:color w:val="auto"/>
              </w:rPr>
            </w:pPr>
            <w:r>
              <w:rPr>
                <w:rFonts w:ascii="Arial" w:cs="Arial" w:eastAsia="Arial" w:hAnsi="Arial"/>
                <w:sz w:val="10"/>
                <w:szCs w:val="10"/>
                <w:color w:val="auto"/>
              </w:rPr>
              <w:t>170.0</w:t>
            </w: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jc w:val="right"/>
              <w:ind w:right="147"/>
              <w:spacing w:after="0" w:line="92" w:lineRule="exact"/>
              <w:rPr>
                <w:sz w:val="20"/>
                <w:szCs w:val="20"/>
                <w:color w:val="auto"/>
              </w:rPr>
            </w:pPr>
            <w:r>
              <w:rPr>
                <w:rFonts w:ascii="Arial" w:cs="Arial" w:eastAsia="Arial" w:hAnsi="Arial"/>
                <w:sz w:val="10"/>
                <w:szCs w:val="10"/>
                <w:color w:val="auto"/>
              </w:rPr>
              <w:t>n/m</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5680" w:type="dxa"/>
            <w:vAlign w:val="bottom"/>
            <w:tcBorders>
              <w:bottom w:val="single" w:sz="8" w:color="CCEEFF"/>
            </w:tcBorders>
            <w:gridSpan w:val="5"/>
            <w:shd w:val="clear" w:color="auto" w:fill="CCEEFF"/>
          </w:tcPr>
          <w:p>
            <w:pPr>
              <w:ind w:left="1960"/>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680" w:type="dxa"/>
            <w:vAlign w:val="bottom"/>
            <w:gridSpan w:val="5"/>
          </w:tcPr>
          <w:p>
            <w:pPr>
              <w:ind w:left="40"/>
              <w:spacing w:after="0"/>
              <w:rPr>
                <w:sz w:val="20"/>
                <w:szCs w:val="20"/>
                <w:color w:val="auto"/>
              </w:rPr>
            </w:pPr>
            <w:r>
              <w:rPr>
                <w:rFonts w:ascii="Arial" w:cs="Arial" w:eastAsia="Arial" w:hAnsi="Arial"/>
                <w:sz w:val="15"/>
                <w:szCs w:val="15"/>
                <w:color w:val="auto"/>
              </w:rPr>
              <w:t>Net income attributable to T. Rowe Price Group</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7"/>
              <w:spacing w:after="0"/>
              <w:rPr>
                <w:sz w:val="20"/>
                <w:szCs w:val="20"/>
                <w:color w:val="auto"/>
              </w:rPr>
            </w:pPr>
            <w:r>
              <w:rPr>
                <w:rFonts w:ascii="Arial" w:cs="Arial" w:eastAsia="Arial" w:hAnsi="Arial"/>
                <w:sz w:val="15"/>
                <w:szCs w:val="15"/>
                <w:color w:val="auto"/>
              </w:rPr>
              <w:t>343.1</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512.6</w:t>
            </w:r>
          </w:p>
        </w:tc>
        <w:tc>
          <w:tcPr>
            <w:tcW w:w="1400" w:type="dxa"/>
            <w:vAlign w:val="bottom"/>
            <w:gridSpan w:val="4"/>
            <w:vMerge w:val="restart"/>
          </w:tcPr>
          <w:p>
            <w:pPr>
              <w:jc w:val="right"/>
              <w:spacing w:after="0"/>
              <w:rPr>
                <w:sz w:val="20"/>
                <w:szCs w:val="20"/>
                <w:color w:val="auto"/>
              </w:rPr>
            </w:pPr>
            <w:r>
              <w:rPr>
                <w:rFonts w:ascii="Arial" w:cs="Arial" w:eastAsia="Arial" w:hAnsi="Arial"/>
                <w:sz w:val="15"/>
                <w:szCs w:val="15"/>
                <w:color w:val="auto"/>
              </w:rPr>
              <w:t>(33.1)% $</w:t>
            </w:r>
          </w:p>
        </w:tc>
        <w:tc>
          <w:tcPr>
            <w:tcW w:w="880" w:type="dxa"/>
            <w:vAlign w:val="bottom"/>
            <w:vMerge w:val="restart"/>
          </w:tcPr>
          <w:p>
            <w:pPr>
              <w:jc w:val="right"/>
              <w:ind w:right="27"/>
              <w:spacing w:after="0"/>
              <w:rPr>
                <w:sz w:val="20"/>
                <w:szCs w:val="20"/>
                <w:color w:val="auto"/>
              </w:rPr>
            </w:pPr>
            <w:r>
              <w:rPr>
                <w:rFonts w:ascii="Arial" w:cs="Arial" w:eastAsia="Arial" w:hAnsi="Arial"/>
                <w:sz w:val="15"/>
                <w:szCs w:val="15"/>
                <w:color w:val="auto"/>
              </w:rPr>
              <w:t>545.3</w:t>
            </w:r>
          </w:p>
        </w:tc>
        <w:tc>
          <w:tcPr>
            <w:tcW w:w="10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568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(32.5)% $</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680" w:type="dxa"/>
            <w:vAlign w:val="bottom"/>
            <w:gridSpan w:val="5"/>
          </w:tcPr>
          <w:p>
            <w:pPr>
              <w:ind w:left="40"/>
              <w:spacing w:after="0"/>
              <w:rPr>
                <w:sz w:val="20"/>
                <w:szCs w:val="20"/>
                <w:color w:val="auto"/>
              </w:rPr>
            </w:pPr>
            <w:r>
              <w:rPr>
                <w:rFonts w:ascii="Arial" w:cs="Arial" w:eastAsia="Arial" w:hAnsi="Arial"/>
                <w:sz w:val="15"/>
                <w:szCs w:val="15"/>
                <w:color w:val="auto"/>
              </w:rPr>
              <w:t>Weighted average common shares outstanding assuming dilution</w:t>
            </w:r>
          </w:p>
        </w:tc>
        <w:tc>
          <w:tcPr>
            <w:tcW w:w="140" w:type="dxa"/>
            <w:vAlign w:val="bottom"/>
          </w:tcPr>
          <w:p>
            <w:pPr>
              <w:spacing w:after="0"/>
              <w:rPr>
                <w:sz w:val="23"/>
                <w:szCs w:val="23"/>
                <w:color w:val="auto"/>
              </w:rPr>
            </w:pP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236.8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239.6</w:t>
            </w:r>
          </w:p>
        </w:tc>
        <w:tc>
          <w:tcPr>
            <w:tcW w:w="1260" w:type="dxa"/>
            <w:vAlign w:val="bottom"/>
            <w:gridSpan w:val="3"/>
          </w:tcPr>
          <w:p>
            <w:pPr>
              <w:jc w:val="right"/>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23"/>
                <w:szCs w:val="23"/>
                <w:color w:val="auto"/>
              </w:rPr>
            </w:pP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237.4</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5680" w:type="dxa"/>
            <w:vAlign w:val="bottom"/>
            <w:gridSpan w:val="5"/>
          </w:tcPr>
          <w:p>
            <w:pPr>
              <w:ind w:left="40"/>
              <w:spacing w:after="0" w:line="87" w:lineRule="exact"/>
              <w:rPr>
                <w:sz w:val="20"/>
                <w:szCs w:val="20"/>
                <w:color w:val="auto"/>
              </w:rPr>
            </w:pPr>
            <w:r>
              <w:rPr>
                <w:rFonts w:ascii="Arial" w:cs="Arial" w:eastAsia="Arial" w:hAnsi="Arial"/>
                <w:sz w:val="10"/>
                <w:szCs w:val="10"/>
                <w:b w:val="1"/>
                <w:bCs w:val="1"/>
                <w:color w:val="auto"/>
              </w:rPr>
              <w:t>Adjusted non-GAAP basis</w:t>
            </w: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5680" w:type="dxa"/>
            <w:vAlign w:val="bottom"/>
            <w:gridSpan w:val="5"/>
          </w:tcPr>
          <w:p>
            <w:pPr>
              <w:ind w:left="1960"/>
              <w:spacing w:after="0" w:line="143" w:lineRule="exact"/>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817.9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756.6</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8.1% $</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863.5</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680" w:type="dxa"/>
            <w:vAlign w:val="bottom"/>
            <w:gridSpan w:val="5"/>
          </w:tcPr>
          <w:p>
            <w:pPr>
              <w:ind w:left="40"/>
              <w:spacing w:after="0"/>
              <w:rPr>
                <w:sz w:val="20"/>
                <w:szCs w:val="20"/>
                <w:color w:val="auto"/>
              </w:rPr>
            </w:pPr>
            <w:r>
              <w:rPr>
                <w:rFonts w:ascii="Arial" w:cs="Arial" w:eastAsia="Arial" w:hAnsi="Arial"/>
                <w:sz w:val="15"/>
                <w:szCs w:val="15"/>
                <w:color w:val="auto"/>
              </w:rPr>
              <w:t>Net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647.2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572.2</w:t>
            </w:r>
          </w:p>
        </w:tc>
        <w:tc>
          <w:tcPr>
            <w:tcW w:w="1400" w:type="dxa"/>
            <w:vAlign w:val="bottom"/>
            <w:gridSpan w:val="4"/>
          </w:tcPr>
          <w:p>
            <w:pPr>
              <w:jc w:val="right"/>
              <w:spacing w:after="0"/>
              <w:rPr>
                <w:sz w:val="20"/>
                <w:szCs w:val="20"/>
                <w:color w:val="auto"/>
              </w:rPr>
            </w:pPr>
            <w:r>
              <w:rPr>
                <w:rFonts w:ascii="Arial" w:cs="Arial" w:eastAsia="Arial" w:hAnsi="Arial"/>
                <w:sz w:val="15"/>
                <w:szCs w:val="15"/>
                <w:color w:val="auto"/>
              </w:rPr>
              <w:t>13.1 % $</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605.7</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5680" w:type="dxa"/>
            <w:vAlign w:val="bottom"/>
            <w:gridSpan w:val="5"/>
            <w:shd w:val="clear" w:color="auto" w:fill="CCEEFF"/>
          </w:tcPr>
          <w:p>
            <w:pPr>
              <w:ind w:left="40"/>
              <w:spacing w:after="0" w:line="92" w:lineRule="exact"/>
              <w:rPr>
                <w:sz w:val="20"/>
                <w:szCs w:val="20"/>
                <w:color w:val="auto"/>
              </w:rPr>
            </w:pPr>
            <w:r>
              <w:rPr>
                <w:rFonts w:ascii="Arial" w:cs="Arial" w:eastAsia="Arial" w:hAnsi="Arial"/>
                <w:sz w:val="10"/>
                <w:szCs w:val="10"/>
                <w:color w:val="auto"/>
              </w:rPr>
              <w:t>Non-operating income (loss)</w:t>
            </w:r>
          </w:p>
        </w:tc>
        <w:tc>
          <w:tcPr>
            <w:tcW w:w="14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(61.2)</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44.2</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jc w:val="right"/>
              <w:ind w:right="158"/>
              <w:spacing w:after="0" w:line="92" w:lineRule="exact"/>
              <w:rPr>
                <w:sz w:val="20"/>
                <w:szCs w:val="20"/>
                <w:color w:val="auto"/>
              </w:rPr>
            </w:pPr>
            <w:r>
              <w:rPr>
                <w:rFonts w:ascii="Arial" w:cs="Arial" w:eastAsia="Arial" w:hAnsi="Arial"/>
                <w:sz w:val="10"/>
                <w:szCs w:val="10"/>
                <w:color w:val="auto"/>
              </w:rPr>
              <w:t>n/m</w:t>
            </w:r>
          </w:p>
        </w:tc>
        <w:tc>
          <w:tcPr>
            <w:tcW w:w="140" w:type="dxa"/>
            <w:vAlign w:val="bottom"/>
            <w:shd w:val="clear" w:color="auto" w:fill="CCEEFF"/>
          </w:tcPr>
          <w:p>
            <w:pPr>
              <w:jc w:val="right"/>
              <w:spacing w:after="0" w:line="92"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7"/>
              <w:spacing w:after="0" w:line="92" w:lineRule="exact"/>
              <w:rPr>
                <w:sz w:val="20"/>
                <w:szCs w:val="20"/>
                <w:color w:val="auto"/>
              </w:rPr>
            </w:pPr>
            <w:r>
              <w:rPr>
                <w:rFonts w:ascii="Arial" w:cs="Arial" w:eastAsia="Arial" w:hAnsi="Arial"/>
                <w:sz w:val="10"/>
                <w:szCs w:val="10"/>
                <w:color w:val="auto"/>
              </w:rPr>
              <w:t>27.2</w:t>
            </w: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jc w:val="right"/>
              <w:ind w:right="147"/>
              <w:spacing w:after="0" w:line="92" w:lineRule="exact"/>
              <w:rPr>
                <w:sz w:val="20"/>
                <w:szCs w:val="20"/>
                <w:color w:val="auto"/>
              </w:rPr>
            </w:pPr>
            <w:r>
              <w:rPr>
                <w:rFonts w:ascii="Arial" w:cs="Arial" w:eastAsia="Arial" w:hAnsi="Arial"/>
                <w:sz w:val="10"/>
                <w:szCs w:val="10"/>
                <w:color w:val="auto"/>
              </w:rPr>
              <w:t>n/m</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5680" w:type="dxa"/>
            <w:vAlign w:val="bottom"/>
            <w:tcBorders>
              <w:bottom w:val="single" w:sz="8" w:color="CCEEFF"/>
            </w:tcBorders>
            <w:gridSpan w:val="5"/>
            <w:shd w:val="clear" w:color="auto" w:fill="CCEEFF"/>
          </w:tcPr>
          <w:p>
            <w:pPr>
              <w:ind w:left="1960"/>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680" w:type="dxa"/>
            <w:vAlign w:val="bottom"/>
            <w:gridSpan w:val="5"/>
          </w:tcPr>
          <w:p>
            <w:pPr>
              <w:ind w:left="40"/>
              <w:spacing w:after="0"/>
              <w:rPr>
                <w:sz w:val="20"/>
                <w:szCs w:val="20"/>
                <w:color w:val="auto"/>
              </w:rPr>
            </w:pPr>
            <w:r>
              <w:rPr>
                <w:rFonts w:ascii="Arial" w:cs="Arial" w:eastAsia="Arial" w:hAnsi="Arial"/>
                <w:sz w:val="15"/>
                <w:szCs w:val="15"/>
                <w:color w:val="auto"/>
              </w:rPr>
              <w:t>Net income attributable to T. Rowe Price Group</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454.3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460.6</w:t>
            </w:r>
          </w:p>
        </w:tc>
        <w:tc>
          <w:tcPr>
            <w:tcW w:w="1400" w:type="dxa"/>
            <w:vAlign w:val="bottom"/>
            <w:gridSpan w:val="4"/>
          </w:tcPr>
          <w:p>
            <w:pPr>
              <w:jc w:val="right"/>
              <w:spacing w:after="0"/>
              <w:rPr>
                <w:sz w:val="20"/>
                <w:szCs w:val="20"/>
                <w:color w:val="auto"/>
              </w:rPr>
            </w:pPr>
            <w:r>
              <w:rPr>
                <w:rFonts w:ascii="Arial" w:cs="Arial" w:eastAsia="Arial" w:hAnsi="Arial"/>
                <w:sz w:val="15"/>
                <w:szCs w:val="15"/>
                <w:color w:val="auto"/>
              </w:rPr>
              <w:t>(1.4)% $</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495.0</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8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 $</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564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 xml:space="preserve">Assets under Management </w:t>
            </w:r>
            <w:r>
              <w:rPr>
                <w:rFonts w:ascii="Arial" w:cs="Arial" w:eastAsia="Arial" w:hAnsi="Arial"/>
                <w:sz w:val="12"/>
                <w:szCs w:val="12"/>
                <w:color w:val="auto"/>
              </w:rPr>
              <w:t>(in billions)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Arial" w:cs="Arial" w:eastAsia="Arial" w:hAnsi="Arial"/>
                <w:sz w:val="15"/>
                <w:szCs w:val="15"/>
                <w:color w:val="auto"/>
              </w:rPr>
              <w:t>Average assets under management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7"/>
              <w:spacing w:after="0"/>
              <w:rPr>
                <w:sz w:val="20"/>
                <w:szCs w:val="20"/>
                <w:color w:val="auto"/>
              </w:rPr>
            </w:pPr>
            <w:r>
              <w:rPr>
                <w:rFonts w:ascii="Arial" w:cs="Arial" w:eastAsia="Arial" w:hAnsi="Arial"/>
                <w:sz w:val="15"/>
                <w:szCs w:val="15"/>
                <w:color w:val="auto"/>
              </w:rPr>
              <w:t>1,162.7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1,043.5</w:t>
            </w:r>
          </w:p>
        </w:tc>
        <w:tc>
          <w:tcPr>
            <w:tcW w:w="1400" w:type="dxa"/>
            <w:vAlign w:val="bottom"/>
            <w:gridSpan w:val="4"/>
          </w:tcPr>
          <w:p>
            <w:pPr>
              <w:jc w:val="right"/>
              <w:spacing w:after="0"/>
              <w:rPr>
                <w:sz w:val="20"/>
                <w:szCs w:val="20"/>
                <w:color w:val="auto"/>
              </w:rPr>
            </w:pPr>
            <w:r>
              <w:rPr>
                <w:rFonts w:ascii="Arial" w:cs="Arial" w:eastAsia="Arial" w:hAnsi="Arial"/>
                <w:sz w:val="15"/>
                <w:szCs w:val="15"/>
                <w:color w:val="auto"/>
              </w:rPr>
              <w:t>11.4 % $</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1,162.0</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8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Ending assets under management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1,008.8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1,081.7</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(6.7)% $</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1,206.8</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The percentage change in non-operating income (loss) is not meaningful (n/m).</w:t>
      </w:r>
    </w:p>
    <w:p>
      <w:pPr>
        <w:spacing w:after="0" w:line="6" w:lineRule="exact"/>
        <w:rPr>
          <w:rFonts w:ascii="Arial" w:cs="Arial" w:eastAsia="Arial" w:hAnsi="Arial"/>
          <w:sz w:val="9"/>
          <w:szCs w:val="9"/>
          <w:i w:val="1"/>
          <w:iCs w:val="1"/>
          <w:color w:val="auto"/>
        </w:rPr>
      </w:pPr>
    </w:p>
    <w:p>
      <w:pPr>
        <w:ind w:left="180" w:right="100" w:hanging="172"/>
        <w:spacing w:after="0"/>
        <w:tabs>
          <w:tab w:leader="none" w:pos="163" w:val="left"/>
        </w:tabs>
        <w:numPr>
          <w:ilvl w:val="0"/>
          <w:numId w:val="17"/>
        </w:numPr>
        <w:rPr>
          <w:rFonts w:ascii="Arial" w:cs="Arial" w:eastAsia="Arial" w:hAnsi="Arial"/>
          <w:sz w:val="9"/>
          <w:szCs w:val="9"/>
          <w:i w:val="1"/>
          <w:iCs w:val="1"/>
          <w:color w:val="auto"/>
        </w:rPr>
      </w:pPr>
      <w:r>
        <w:rPr>
          <w:rFonts w:ascii="Arial" w:cs="Arial" w:eastAsia="Arial" w:hAnsi="Arial"/>
          <w:sz w:val="13"/>
          <w:szCs w:val="13"/>
          <w:i w:val="1"/>
          <w:iCs w:val="1"/>
          <w:color w:val="auto"/>
        </w:rPr>
        <w:t>Adjusts the GAAP basis for the impact of consolidated T. Rowe Price investment products, the impact of market movements on the supplemental savings plan liability and related economic hedges, investment income related to certain other investments, and certain nonrecurring charges and gains. The firm believes the non-GAAP financial measures provide relevant and meaningful information to investors about its core operating results. See the reconciliation to the comparable U.S. GAAP measures at the end of this earnings release.</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Management Commentary</w:t>
      </w:r>
    </w:p>
    <w:p>
      <w:pPr>
        <w:spacing w:after="0" w:line="85"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William J. Stromberg, president and chief executive officer, commented: “These are extraordinary times. Q1 2020 saw the rise of the coronavirus pandemic, forcing us to live and work in new ways, disrupting global economies and markets, and ultimately ending a historic 11-year bull market with an intense March sell-off. Fortunately, the Federal Reserve and Congress acted quickly and boldly with drastic measures such as quantitative easing and the CARES Act to boost the economy and restore market liquidity. Though markets recovered sharply after quarter end, the global disruption of daily activity and associated economic uncertainty continue unabated.</w:t>
      </w:r>
    </w:p>
    <w:p>
      <w:pPr>
        <w:spacing w:after="0" w:line="302"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"The very best of T. Rowe Price teamwork and culture have been on display as our teams quickly and efficiently established work-from-home arrangements for about 97% of our global associates. Our business continuity plans have functioned well and, thanks to the hard work of our associates and a comprehensive suite of technologies, we are staying close to companies we invest in and the clients we serve.</w:t>
      </w:r>
    </w:p>
    <w:p>
      <w:pPr>
        <w:spacing w:after="0" w:line="298" w:lineRule="exact"/>
        <w:rPr>
          <w:sz w:val="20"/>
          <w:szCs w:val="20"/>
          <w:color w:val="auto"/>
        </w:rPr>
      </w:pPr>
    </w:p>
    <w:p>
      <w:pPr>
        <w:ind w:right="20"/>
        <w:spacing w:after="0" w:line="362" w:lineRule="auto"/>
        <w:rPr>
          <w:sz w:val="20"/>
          <w:szCs w:val="20"/>
          <w:color w:val="auto"/>
        </w:rPr>
      </w:pPr>
      <w:r>
        <w:rPr>
          <w:rFonts w:ascii="Arial" w:cs="Arial" w:eastAsia="Arial" w:hAnsi="Arial"/>
          <w:sz w:val="18"/>
          <w:szCs w:val="18"/>
          <w:color w:val="auto"/>
        </w:rPr>
        <w:t>"In our annual report, published in March, I referred to 2019's market as an 'everything rally' in which investors were treated to gains in nearly every asset class. Q1 2020 was the opposite as most global equities and credit-driven bonds posted losses. The swiftness of the decline in risk assets was breathtaking. The S&amp;P 500 Index, for instance, fell 35% from its all-time high on February 19th to the current low on March 23rd in just 33 days. Volatility like this reminds us all to invest for the long term as gains and losses can come and go in bunches. After delivering strong results in 2019, our investment teams' aggregate performance during Q1's declines was more mixed. Our long-term results, though, remain excellent and our teams continue to position our clients' portfolios with the long term firmly in mind.</w:t>
      </w:r>
    </w:p>
    <w:p>
      <w:pPr>
        <w:spacing w:after="0" w:line="300" w:lineRule="exact"/>
        <w:rPr>
          <w:sz w:val="20"/>
          <w:szCs w:val="20"/>
          <w:color w:val="auto"/>
        </w:rPr>
      </w:pPr>
    </w:p>
    <w:p>
      <w:pPr>
        <w:ind w:right="580"/>
        <w:spacing w:after="0" w:line="365" w:lineRule="auto"/>
        <w:rPr>
          <w:sz w:val="20"/>
          <w:szCs w:val="20"/>
          <w:color w:val="auto"/>
        </w:rPr>
      </w:pPr>
      <w:r>
        <w:rPr>
          <w:rFonts w:ascii="Arial" w:cs="Arial" w:eastAsia="Arial" w:hAnsi="Arial"/>
          <w:sz w:val="18"/>
          <w:szCs w:val="18"/>
          <w:color w:val="auto"/>
        </w:rPr>
        <w:t>"Throughout the disruption and volatility, we stayed close to our clients and engagement levels have been robust. We experienced net outflows of $6.0 billion in Q1 as some clients de-risked, moving funds from equities to fixed income and to money market strategies. Nonetheless, we were pleased that both EMEA and APAC contributed positively in the quarter.</w:t>
      </w:r>
    </w:p>
    <w:p>
      <w:pPr>
        <w:spacing w:after="0" w:line="298" w:lineRule="exact"/>
        <w:rPr>
          <w:sz w:val="20"/>
          <w:szCs w:val="20"/>
          <w:color w:val="auto"/>
        </w:rPr>
      </w:pPr>
    </w:p>
    <w:p>
      <w:pPr>
        <w:ind w:right="20"/>
        <w:spacing w:after="0" w:line="362" w:lineRule="auto"/>
        <w:rPr>
          <w:sz w:val="20"/>
          <w:szCs w:val="20"/>
          <w:color w:val="auto"/>
        </w:rPr>
      </w:pPr>
      <w:r>
        <w:rPr>
          <w:rFonts w:ascii="Arial" w:cs="Arial" w:eastAsia="Arial" w:hAnsi="Arial"/>
          <w:sz w:val="18"/>
          <w:szCs w:val="18"/>
          <w:color w:val="auto"/>
        </w:rPr>
        <w:t>"The firm was in very strong financial shape as we entered 2020 with no debt and plenty of cash. This strength gives us the confidence to continue investing in our capabilities for the long term, despite volatile markets. And we continue to make progress against our strategic objectives. In Q1, we expanded our ESG efforts with the launch of a new sustainable range of SICAV funds, bringing socially responsible investing versions of several of our funds to European investors. In addition, as part of our ongoing focus on the global retirement market, we launched our new Multi-Asset Global Income SICAV. In Japan, we continued to see success with our Investment Trust (ITM) offering, which was expanded in Q1 with the launch of our US Large Cap Growth Equity ITM for institutional investors.</w:t>
      </w:r>
    </w:p>
    <w:p>
      <w:pPr>
        <w:spacing w:after="0" w:line="300" w:lineRule="exact"/>
        <w:rPr>
          <w:sz w:val="20"/>
          <w:szCs w:val="20"/>
          <w:color w:val="auto"/>
        </w:rPr>
      </w:pPr>
    </w:p>
    <w:p>
      <w:pPr>
        <w:ind w:right="420"/>
        <w:spacing w:after="0" w:line="371" w:lineRule="auto"/>
        <w:rPr>
          <w:sz w:val="20"/>
          <w:szCs w:val="20"/>
          <w:color w:val="auto"/>
        </w:rPr>
      </w:pPr>
      <w:r>
        <w:rPr>
          <w:rFonts w:ascii="Arial" w:cs="Arial" w:eastAsia="Arial" w:hAnsi="Arial"/>
          <w:sz w:val="18"/>
          <w:szCs w:val="18"/>
          <w:color w:val="auto"/>
        </w:rPr>
        <w:t>"With the steep decline in market values, we are updating our 2020 non-GAAP operating expense growth guidance to be in the range of 1%-4%, down from 6%-9%. We are moving forward with key strategic initiatives but will moderate the pace of investment elsewhere.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"Finally, we responded to the drop in our share price and to higher trading volumes in Q1 by repurchasing</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3" w:name="page44"/>
    <w:bookmarkEnd w:id="43"/>
    <w:p>
      <w:pPr>
        <w:jc w:val="both"/>
        <w:ind w:right="260"/>
        <w:spacing w:after="0" w:line="371" w:lineRule="auto"/>
        <w:rPr>
          <w:sz w:val="20"/>
          <w:szCs w:val="20"/>
          <w:color w:val="auto"/>
        </w:rPr>
      </w:pPr>
      <w:r>
        <w:rPr>
          <w:rFonts w:ascii="Arial" w:cs="Arial" w:eastAsia="Arial" w:hAnsi="Arial"/>
          <w:sz w:val="18"/>
          <w:szCs w:val="18"/>
          <w:color w:val="auto"/>
        </w:rPr>
        <w:t>8.3 million shares. Total shares outstanding finished Q1 at 228.0 million, the lowest level since 1986. Still, our balance sheet remains rock-solid, and we will continue to invest in our business for the long term.</w:t>
      </w:r>
    </w:p>
    <w:p>
      <w:pPr>
        <w:spacing w:after="0" w:line="292" w:lineRule="exact"/>
        <w:rPr>
          <w:sz w:val="20"/>
          <w:szCs w:val="20"/>
          <w:color w:val="auto"/>
        </w:rPr>
      </w:pPr>
    </w:p>
    <w:p>
      <w:pPr>
        <w:jc w:val="both"/>
        <w:ind w:right="260"/>
        <w:spacing w:after="0" w:line="365" w:lineRule="auto"/>
        <w:rPr>
          <w:sz w:val="20"/>
          <w:szCs w:val="20"/>
          <w:color w:val="auto"/>
        </w:rPr>
      </w:pPr>
      <w:r>
        <w:rPr>
          <w:rFonts w:ascii="Arial" w:cs="Arial" w:eastAsia="Arial" w:hAnsi="Arial"/>
          <w:sz w:val="18"/>
          <w:szCs w:val="18"/>
          <w:color w:val="auto"/>
        </w:rPr>
        <w:t>"The coronavirus pandemic has brought considerable change and uncertainty to our world. Our associates have responded well, and I am extremely proud of the agility and resilience they have demonstrated. All of us remain focused on delivering long-term value to our clients and stockholders."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Q1 2020, assets under management decreased $198.0 billion to $1.01 trillion. Net cash outflows were</w:t>
      </w:r>
    </w:p>
    <w:p>
      <w:pPr>
        <w:spacing w:after="0" w:line="104" w:lineRule="exact"/>
        <w:rPr>
          <w:sz w:val="20"/>
          <w:szCs w:val="20"/>
          <w:color w:val="auto"/>
        </w:rPr>
      </w:pPr>
    </w:p>
    <w:p>
      <w:pPr>
        <w:ind w:right="380"/>
        <w:spacing w:after="0" w:line="407" w:lineRule="auto"/>
        <w:rPr>
          <w:sz w:val="20"/>
          <w:szCs w:val="20"/>
          <w:color w:val="auto"/>
        </w:rPr>
      </w:pPr>
      <w:r>
        <w:rPr>
          <w:rFonts w:ascii="Arial" w:cs="Arial" w:eastAsia="Arial" w:hAnsi="Arial"/>
          <w:sz w:val="17"/>
          <w:szCs w:val="17"/>
          <w:color w:val="auto"/>
        </w:rPr>
        <w:t>$6.0 billion, and clients transferred $4.4 billion in net assets from the U.S. mutual funds to other investment products, primarily retirement date trusts. The components of the change in assets under management, by vehicle and asset class, are shown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6" w:lineRule="exact"/>
        <w:rPr>
          <w:sz w:val="20"/>
          <w:szCs w:val="20"/>
          <w:color w:val="auto"/>
        </w:rPr>
      </w:pPr>
    </w:p>
    <w:p>
      <w:pPr>
        <w:ind w:left="7160"/>
        <w:spacing w:after="0"/>
        <w:rPr>
          <w:sz w:val="20"/>
          <w:szCs w:val="20"/>
          <w:color w:val="auto"/>
        </w:rPr>
      </w:pPr>
      <w:r>
        <w:rPr>
          <w:rFonts w:ascii="Arial" w:cs="Arial" w:eastAsia="Arial" w:hAnsi="Arial"/>
          <w:sz w:val="14"/>
          <w:szCs w:val="14"/>
          <w:color w:val="auto"/>
        </w:rPr>
        <w:t>Three months ended 3/31/2020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rPr>
              <w:t>Subadvised and</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rPr>
              <w:t>Other investment</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8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rPr>
              <w:t>U.S. mutual funds</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rPr>
              <w:t>separate accounts</w:t>
            </w: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rPr>
              <w:t>products</w:t>
            </w:r>
          </w:p>
        </w:tc>
        <w:tc>
          <w:tcPr>
            <w:tcW w:w="340" w:type="dxa"/>
            <w:vAlign w:val="bottom"/>
          </w:tcPr>
          <w:p>
            <w:pPr>
              <w:spacing w:after="0"/>
              <w:rPr>
                <w:sz w:val="15"/>
                <w:szCs w:val="15"/>
                <w:color w:val="auto"/>
              </w:rPr>
            </w:pPr>
          </w:p>
        </w:tc>
        <w:tc>
          <w:tcPr>
            <w:tcW w:w="1120" w:type="dxa"/>
            <w:vAlign w:val="bottom"/>
          </w:tcPr>
          <w:p>
            <w:pPr>
              <w:jc w:val="right"/>
              <w:ind w:right="5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9"/>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682.7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313.8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210.3</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 transfers</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3"/>
        </w:trPr>
        <w:tc>
          <w:tcPr>
            <w:tcW w:w="5080" w:type="dxa"/>
            <w:vAlign w:val="bottom"/>
          </w:tcPr>
          <w:p>
            <w:pPr>
              <w:ind w:left="40"/>
              <w:spacing w:after="0"/>
              <w:rPr>
                <w:sz w:val="20"/>
                <w:szCs w:val="20"/>
                <w:color w:val="auto"/>
              </w:rPr>
            </w:pPr>
            <w:r>
              <w:rPr>
                <w:rFonts w:ascii="Arial" w:cs="Arial" w:eastAsia="Arial" w:hAnsi="Arial"/>
                <w:sz w:val="16"/>
                <w:szCs w:val="16"/>
                <w:color w:val="auto"/>
              </w:rPr>
              <w:t>Client transfers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after client transfers</w:t>
            </w:r>
          </w:p>
        </w:tc>
        <w:tc>
          <w:tcPr>
            <w:tcW w:w="14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Net market depreciation and losses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(191.9)</w:t>
            </w:r>
          </w:p>
        </w:tc>
        <w:tc>
          <w:tcPr>
            <w:tcW w:w="0" w:type="dxa"/>
            <w:vAlign w:val="bottom"/>
          </w:tcPr>
          <w:p>
            <w:pPr>
              <w:spacing w:after="0"/>
              <w:rPr>
                <w:sz w:val="1"/>
                <w:szCs w:val="1"/>
                <w:color w:val="auto"/>
              </w:rPr>
            </w:pPr>
          </w:p>
        </w:tc>
      </w:tr>
      <w:tr>
        <w:trPr>
          <w:trHeight w:val="27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distributions not reinvested</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5080" w:type="dxa"/>
            <w:vAlign w:val="bottom"/>
          </w:tcPr>
          <w:p>
            <w:pPr>
              <w:ind w:left="40"/>
              <w:spacing w:after="0"/>
              <w:rPr>
                <w:sz w:val="20"/>
                <w:szCs w:val="20"/>
                <w:color w:val="auto"/>
              </w:rPr>
            </w:pPr>
            <w:r>
              <w:rPr>
                <w:rFonts w:ascii="Arial" w:cs="Arial" w:eastAsia="Arial" w:hAnsi="Arial"/>
                <w:sz w:val="16"/>
                <w:szCs w:val="16"/>
                <w:color w:val="auto"/>
              </w:rPr>
              <w:t>Assets under management at March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562.3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261.1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185.4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1,008.8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000" w:type="dxa"/>
            <w:vAlign w:val="bottom"/>
            <w:tcBorders>
              <w:bottom w:val="single" w:sz="8" w:color="auto"/>
            </w:tcBorders>
            <w:gridSpan w:val="5"/>
            <w:shd w:val="clear" w:color="auto" w:fill="CCEEFF"/>
          </w:tcPr>
          <w:p>
            <w:pPr>
              <w:ind w:left="380"/>
              <w:spacing w:after="0"/>
              <w:rPr>
                <w:sz w:val="20"/>
                <w:szCs w:val="20"/>
                <w:color w:val="auto"/>
              </w:rPr>
            </w:pPr>
            <w:r>
              <w:rPr>
                <w:rFonts w:ascii="Arial" w:cs="Arial" w:eastAsia="Arial" w:hAnsi="Arial"/>
                <w:sz w:val="14"/>
                <w:szCs w:val="14"/>
                <w:color w:val="auto"/>
              </w:rPr>
              <w:t>Three months ended 3/31/2020</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rPr>
              <w:t>Fixed income,</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rPr>
              <w:t>including money</w:t>
            </w:r>
          </w:p>
        </w:tc>
        <w:tc>
          <w:tcPr>
            <w:tcW w:w="14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8"/>
              </w:rPr>
              <w:t>Multi-asset</w:t>
            </w:r>
            <w:r>
              <w:rPr>
                <w:rFonts w:ascii="Arial" w:cs="Arial" w:eastAsia="Arial" w:hAnsi="Arial"/>
                <w:sz w:val="17"/>
                <w:szCs w:val="17"/>
                <w:color w:val="auto"/>
                <w:w w:val="98"/>
                <w:vertAlign w:val="superscript"/>
              </w:rPr>
              <w:t>(1)</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rPr>
              <w:t>market</w:t>
            </w: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4"/>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698.9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147.9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360.0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market depreciation and losses</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during the period</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Assets under management at March 31,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569.3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146.3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293.2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1,008.8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3810</wp:posOffset>
            </wp:positionV>
            <wp:extent cx="39173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9"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i w:val="1"/>
          <w:iCs w:val="1"/>
          <w:color w:val="auto"/>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11" w:lineRule="exact"/>
        <w:rPr>
          <w:rFonts w:ascii="Arial" w:cs="Arial" w:eastAsia="Arial" w:hAnsi="Arial"/>
          <w:sz w:val="9"/>
          <w:szCs w:val="9"/>
          <w:i w:val="1"/>
          <w:iCs w:val="1"/>
          <w:color w:val="auto"/>
        </w:rPr>
      </w:pPr>
    </w:p>
    <w:p>
      <w:pPr>
        <w:ind w:left="160" w:hanging="152"/>
        <w:spacing w:after="0"/>
        <w:tabs>
          <w:tab w:leader="none" w:pos="160" w:val="left"/>
        </w:tabs>
        <w:numPr>
          <w:ilvl w:val="0"/>
          <w:numId w:val="18"/>
        </w:numPr>
        <w:rPr>
          <w:rFonts w:ascii="Arial" w:cs="Arial" w:eastAsia="Arial" w:hAnsi="Arial"/>
          <w:sz w:val="9"/>
          <w:szCs w:val="9"/>
          <w:i w:val="1"/>
          <w:iCs w:val="1"/>
          <w:color w:val="auto"/>
        </w:rPr>
      </w:pPr>
      <w:r>
        <w:rPr>
          <w:rFonts w:ascii="Arial" w:cs="Arial" w:eastAsia="Arial" w:hAnsi="Arial"/>
          <w:sz w:val="13"/>
          <w:szCs w:val="13"/>
          <w:i w:val="1"/>
          <w:iCs w:val="1"/>
          <w:color w:val="auto"/>
        </w:rPr>
        <w:t>Includes distributions not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-193675</wp:posOffset>
            </wp:positionV>
            <wp:extent cx="39173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54" w:lineRule="exact"/>
        <w:rPr>
          <w:sz w:val="20"/>
          <w:szCs w:val="20"/>
          <w:color w:val="auto"/>
        </w:rPr>
      </w:pPr>
    </w:p>
    <w:p>
      <w:pPr>
        <w:ind w:right="440"/>
        <w:spacing w:after="0" w:line="360" w:lineRule="auto"/>
        <w:rPr>
          <w:sz w:val="20"/>
          <w:szCs w:val="20"/>
          <w:color w:val="auto"/>
        </w:rPr>
      </w:pPr>
      <w:r>
        <w:rPr>
          <w:rFonts w:ascii="Arial" w:cs="Arial" w:eastAsia="Arial" w:hAnsi="Arial"/>
          <w:sz w:val="18"/>
          <w:szCs w:val="18"/>
          <w:color w:val="auto"/>
        </w:rPr>
        <w:t>Assets under management in the firm's target date retirement products, which are reported as part of the multi-asset column in the table above, were $242.2 billion at March 31, 2020, compared with $292.4 billion at</w:t>
      </w:r>
    </w:p>
    <w:p>
      <w:pPr>
        <w:ind w:right="100"/>
        <w:spacing w:after="0" w:line="371" w:lineRule="auto"/>
        <w:rPr>
          <w:sz w:val="20"/>
          <w:szCs w:val="20"/>
          <w:color w:val="auto"/>
        </w:rPr>
      </w:pPr>
      <w:r>
        <w:rPr>
          <w:rFonts w:ascii="Arial" w:cs="Arial" w:eastAsia="Arial" w:hAnsi="Arial"/>
          <w:sz w:val="18"/>
          <w:szCs w:val="18"/>
          <w:color w:val="auto"/>
        </w:rPr>
        <w:t>December 31, 2019. Net cash inflows into these portfolios were $.7 billion in Q1 2020. A redemption in a risk-managed strategy from a large institutional client was the primary driver of the multi-asset outflows during the quarter.</w:t>
      </w:r>
    </w:p>
    <w:p>
      <w:pPr>
        <w:spacing w:after="0" w:line="292" w:lineRule="exact"/>
        <w:rPr>
          <w:sz w:val="20"/>
          <w:szCs w:val="20"/>
          <w:color w:val="auto"/>
        </w:rPr>
      </w:pPr>
    </w:p>
    <w:p>
      <w:pPr>
        <w:ind w:right="360"/>
        <w:spacing w:after="0" w:line="371" w:lineRule="auto"/>
        <w:rPr>
          <w:sz w:val="20"/>
          <w:szCs w:val="20"/>
          <w:color w:val="auto"/>
        </w:rPr>
      </w:pPr>
      <w:r>
        <w:rPr>
          <w:rFonts w:ascii="Arial" w:cs="Arial" w:eastAsia="Arial" w:hAnsi="Arial"/>
          <w:sz w:val="18"/>
          <w:szCs w:val="18"/>
          <w:color w:val="auto"/>
        </w:rPr>
        <w:t>Investors domiciled outside the United States accounted for 7.4% of the firm's assets under management at March 31, 2020 and 6.9% at December 31, 2019.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Financial Results</w:t>
      </w:r>
    </w:p>
    <w:p>
      <w:pPr>
        <w:spacing w:after="0" w:line="104" w:lineRule="exact"/>
        <w:rPr>
          <w:sz w:val="20"/>
          <w:szCs w:val="20"/>
          <w:color w:val="auto"/>
        </w:rPr>
      </w:pPr>
    </w:p>
    <w:p>
      <w:pPr>
        <w:ind w:right="480"/>
        <w:spacing w:after="0" w:line="377"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earned in Q1 2020 were $1.5 billion, up 10.2% from Q1 2019. Average assets under management in Q1 2020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11.4% from Q1 2019 to $1.16 trillion, and were higher than quarter-end assets.</w:t>
      </w:r>
    </w:p>
    <w:p>
      <w:pPr>
        <w:spacing w:after="0" w:line="20" w:lineRule="exact"/>
        <w:rPr>
          <w:sz w:val="20"/>
          <w:szCs w:val="20"/>
          <w:color w:val="auto"/>
        </w:rPr>
      </w:pPr>
    </w:p>
    <w:p>
      <w:pPr>
        <w:ind w:left="660" w:right="260" w:hanging="328"/>
        <w:spacing w:after="0" w:line="380" w:lineRule="auto"/>
        <w:tabs>
          <w:tab w:leader="none" w:pos="660" w:val="left"/>
        </w:tabs>
        <w:numPr>
          <w:ilvl w:val="0"/>
          <w:numId w:val="19"/>
        </w:numPr>
        <w:rPr>
          <w:rFonts w:ascii="Arial" w:cs="Arial" w:eastAsia="Arial" w:hAnsi="Arial"/>
          <w:sz w:val="22"/>
          <w:szCs w:val="22"/>
          <w:color w:val="40AEFF"/>
        </w:rPr>
      </w:pPr>
      <w:r>
        <w:rPr>
          <w:rFonts w:ascii="Arial" w:cs="Arial" w:eastAsia="Arial" w:hAnsi="Arial"/>
          <w:sz w:val="18"/>
          <w:szCs w:val="18"/>
          <w:color w:val="auto"/>
        </w:rPr>
        <w:t>Investment advisory revenues earned in Q1 2020 from the firm's U.S. mutual funds were $876.2 million, an increase of 7.4% from Q1 2019. Average assets under management in these funds increased 7.2% to $654.3 billion in Q1 2020.</w:t>
      </w:r>
    </w:p>
    <w:p>
      <w:pPr>
        <w:spacing w:after="0" w:line="311" w:lineRule="exact"/>
        <w:rPr>
          <w:rFonts w:ascii="Arial" w:cs="Arial" w:eastAsia="Arial" w:hAnsi="Arial"/>
          <w:sz w:val="22"/>
          <w:szCs w:val="22"/>
          <w:color w:val="40AEFF"/>
        </w:rPr>
      </w:pPr>
    </w:p>
    <w:p>
      <w:pPr>
        <w:ind w:left="660" w:right="140" w:hanging="328"/>
        <w:spacing w:after="0" w:line="385" w:lineRule="auto"/>
        <w:tabs>
          <w:tab w:leader="none" w:pos="660" w:val="left"/>
        </w:tabs>
        <w:numPr>
          <w:ilvl w:val="0"/>
          <w:numId w:val="19"/>
        </w:numPr>
        <w:rPr>
          <w:rFonts w:ascii="Arial" w:cs="Arial" w:eastAsia="Arial" w:hAnsi="Arial"/>
          <w:sz w:val="22"/>
          <w:szCs w:val="22"/>
          <w:color w:val="40AEFF"/>
        </w:rPr>
      </w:pPr>
      <w:r>
        <w:rPr>
          <w:rFonts w:ascii="Arial" w:cs="Arial" w:eastAsia="Arial" w:hAnsi="Arial"/>
          <w:sz w:val="18"/>
          <w:szCs w:val="18"/>
          <w:color w:val="auto"/>
        </w:rPr>
        <w:t>Investment advisory revenues earned in Q1 2020 from subadvised, separate accounts, and other investment products were $451.6 million, an increase of 19.4% from Q1 2019. Average assets under management for these products increased 17.3% to $508.4 billion in Q1 2020.</w:t>
      </w:r>
    </w:p>
    <w:p>
      <w:pPr>
        <w:spacing w:after="0" w:line="334" w:lineRule="exact"/>
        <w:rPr>
          <w:rFonts w:ascii="Arial" w:cs="Arial" w:eastAsia="Arial" w:hAnsi="Arial"/>
          <w:sz w:val="22"/>
          <w:szCs w:val="22"/>
          <w:color w:val="40AEFF"/>
        </w:rPr>
      </w:pPr>
    </w:p>
    <w:p>
      <w:pPr>
        <w:ind w:left="660" w:right="60" w:hanging="328"/>
        <w:spacing w:after="0" w:line="397" w:lineRule="auto"/>
        <w:tabs>
          <w:tab w:leader="none" w:pos="660" w:val="left"/>
        </w:tabs>
        <w:numPr>
          <w:ilvl w:val="0"/>
          <w:numId w:val="19"/>
        </w:numPr>
        <w:rPr>
          <w:rFonts w:ascii="Arial" w:cs="Arial" w:eastAsia="Arial" w:hAnsi="Arial"/>
          <w:sz w:val="22"/>
          <w:szCs w:val="22"/>
          <w:color w:val="40AEFF"/>
        </w:rPr>
      </w:pPr>
      <w:r>
        <w:rPr>
          <w:rFonts w:ascii="Arial" w:cs="Arial" w:eastAsia="Arial" w:hAnsi="Arial"/>
          <w:sz w:val="18"/>
          <w:szCs w:val="18"/>
          <w:color w:val="auto"/>
        </w:rPr>
        <w:t>The effective fee rate of 45.9 basis points in Q1 2020, while flat compared to Q4 2019, decreased compared to the 46.4 basis points earned in Q1 2019, primarily due to client transfers within the complex to lower fee vehicles or share classes over the last twelve months. Over time, the firm's effective fee rate can be impacted by market or cash flow related shifts among asset and share classes, price changes in existing products, and asset level changes in products with tiered-fee structures.</w:t>
      </w:r>
    </w:p>
    <w:p>
      <w:pPr>
        <w:spacing w:after="0" w:line="286" w:lineRule="exact"/>
        <w:rPr>
          <w:rFonts w:ascii="Arial" w:cs="Arial" w:eastAsia="Arial" w:hAnsi="Arial"/>
          <w:sz w:val="22"/>
          <w:szCs w:val="22"/>
          <w:color w:val="40AEFF"/>
        </w:rPr>
      </w:pPr>
    </w:p>
    <w:p>
      <w:pPr>
        <w:ind w:left="660" w:hanging="328"/>
        <w:spacing w:after="0"/>
        <w:tabs>
          <w:tab w:leader="none" w:pos="660" w:val="left"/>
        </w:tabs>
        <w:numPr>
          <w:ilvl w:val="0"/>
          <w:numId w:val="19"/>
        </w:numPr>
        <w:rPr>
          <w:rFonts w:ascii="Arial" w:cs="Arial" w:eastAsia="Arial" w:hAnsi="Arial"/>
          <w:sz w:val="22"/>
          <w:szCs w:val="22"/>
          <w:color w:val="40AEFF"/>
        </w:rPr>
      </w:pPr>
      <w:r>
        <w:rPr>
          <w:rFonts w:ascii="Arial" w:cs="Arial" w:eastAsia="Arial" w:hAnsi="Arial"/>
          <w:sz w:val="18"/>
          <w:szCs w:val="18"/>
          <w:color w:val="auto"/>
        </w:rPr>
        <w:t>Administrative, distribution, and servicing fees in Q1 2020 were $134.8 million, an increase of 1.3% from</w:t>
      </w:r>
    </w:p>
    <w:p>
      <w:pPr>
        <w:spacing w:after="0" w:line="120" w:lineRule="exact"/>
        <w:rPr>
          <w:rFonts w:ascii="Arial" w:cs="Arial" w:eastAsia="Arial" w:hAnsi="Arial"/>
          <w:sz w:val="22"/>
          <w:szCs w:val="22"/>
          <w:color w:val="40AEFF"/>
        </w:rPr>
      </w:pPr>
    </w:p>
    <w:p>
      <w:pPr>
        <w:ind w:left="660" w:right="40"/>
        <w:spacing w:after="0" w:line="365" w:lineRule="auto"/>
        <w:rPr>
          <w:rFonts w:ascii="Arial" w:cs="Arial" w:eastAsia="Arial" w:hAnsi="Arial"/>
          <w:sz w:val="22"/>
          <w:szCs w:val="22"/>
          <w:color w:val="40AEFF"/>
        </w:rPr>
      </w:pPr>
      <w:r>
        <w:rPr>
          <w:rFonts w:ascii="Arial" w:cs="Arial" w:eastAsia="Arial" w:hAnsi="Arial"/>
          <w:sz w:val="18"/>
          <w:szCs w:val="18"/>
          <w:color w:val="auto"/>
        </w:rPr>
        <w:t>Q1 2019. The increase was primarily attributable to increased retail transfer agent servicing activities and higher recordkeeping fees, partially offset by lower 12b-1 revenue earned on certain share classes of the U.S. mutual funds as client transfers to lower fee vehicles and share classes has reduced assets under management in these share classes.</w:t>
      </w:r>
    </w:p>
    <w:p>
      <w:pPr>
        <w:spacing w:after="0" w:line="276" w:lineRule="exact"/>
        <w:rPr>
          <w:sz w:val="20"/>
          <w:szCs w:val="20"/>
          <w:color w:val="auto"/>
        </w:rPr>
      </w:pPr>
    </w:p>
    <w:p>
      <w:pPr>
        <w:ind w:right="560"/>
        <w:spacing w:after="0" w:line="37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 Q1 2020 were $755.4 million, a decrease of 5.0% compared to Q1 2019. The decrease in the firm's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was primarily due to a change in market-related compensation expense of</w:t>
      </w:r>
    </w:p>
    <w:p>
      <w:pPr>
        <w:spacing w:after="0" w:line="1"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$100.3 million related to the supplemental savings plan. This was partially offset by higher compensation and related costs, including salaries and benefits, interim bonus accrual, and stock-based compensation. The lower expense related to the Q1 2020 reduction in the supplemental savings plan is more than offset by the non-operating losses incurred on the investments used to economically hedge the related liability. The interim bonus accrual is recognized ratably over the year using the ratio of recognized quarterly net revenues to currently forecasted annual net revenues.</w:t>
      </w:r>
    </w:p>
    <w:p>
      <w:pPr>
        <w:spacing w:after="0" w:line="302" w:lineRule="exact"/>
        <w:rPr>
          <w:sz w:val="20"/>
          <w:szCs w:val="20"/>
          <w:color w:val="auto"/>
        </w:rPr>
      </w:pPr>
    </w:p>
    <w:p>
      <w:pPr>
        <w:jc w:val="both"/>
        <w:ind w:right="40"/>
        <w:spacing w:after="0" w:line="363" w:lineRule="auto"/>
        <w:rPr>
          <w:sz w:val="20"/>
          <w:szCs w:val="20"/>
          <w:color w:val="auto"/>
        </w:rPr>
      </w:pPr>
      <w:r>
        <w:rPr>
          <w:rFonts w:ascii="Arial" w:cs="Arial" w:eastAsia="Arial" w:hAnsi="Arial"/>
          <w:sz w:val="18"/>
          <w:szCs w:val="18"/>
          <w:color w:val="auto"/>
        </w:rPr>
        <w:t>On a non-GAAP basis, the firm's operating expenses in Q1 2020 were $817.9 million, an 8.1% increase over Q1 2019. The firm's non-GAAP operating expenses do not include the impact of the supplemental savings plan and consolidated sponsored products. The increase in non-GAAP operating expenses is largely attributable to higher headcount, the firm's continued strategic investments, and a higher interim bonus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16" w:right="359" w:bottom="1440" w:gutter="0" w:footer="0" w:header="0"/>
        </w:sectPr>
      </w:pPr>
    </w:p>
    <w:bookmarkStart w:id="45" w:name="page46"/>
    <w:bookmarkEnd w:id="45"/>
    <w:p>
      <w:pPr>
        <w:ind w:left="660" w:hanging="328"/>
        <w:spacing w:after="0"/>
        <w:tabs>
          <w:tab w:leader="none" w:pos="660" w:val="left"/>
        </w:tabs>
        <w:numPr>
          <w:ilvl w:val="0"/>
          <w:numId w:val="20"/>
        </w:numPr>
        <w:rPr>
          <w:rFonts w:ascii="Arial" w:cs="Arial" w:eastAsia="Arial" w:hAnsi="Arial"/>
          <w:sz w:val="22"/>
          <w:szCs w:val="22"/>
          <w:color w:val="40AEFF"/>
        </w:rPr>
      </w:pPr>
      <w:r>
        <w:rPr>
          <w:rFonts w:ascii="Arial" w:cs="Arial" w:eastAsia="Arial" w:hAnsi="Arial"/>
          <w:sz w:val="18"/>
          <w:szCs w:val="18"/>
          <w:b w:val="1"/>
          <w:bCs w:val="1"/>
          <w:color w:val="auto"/>
        </w:rPr>
        <w:t xml:space="preserve">Compensation and related costs </w:t>
      </w:r>
      <w:r>
        <w:rPr>
          <w:rFonts w:ascii="Arial" w:cs="Arial" w:eastAsia="Arial" w:hAnsi="Arial"/>
          <w:sz w:val="18"/>
          <w:szCs w:val="18"/>
          <w:color w:val="auto"/>
        </w:rPr>
        <w:t>were $440.7 million in Q1 2020, a decrease of 10.3% compared to</w:t>
      </w:r>
    </w:p>
    <w:p>
      <w:pPr>
        <w:spacing w:after="0" w:line="120" w:lineRule="exact"/>
        <w:rPr>
          <w:rFonts w:ascii="Arial" w:cs="Arial" w:eastAsia="Arial" w:hAnsi="Arial"/>
          <w:sz w:val="22"/>
          <w:szCs w:val="22"/>
          <w:color w:val="40AEFF"/>
        </w:rPr>
      </w:pPr>
    </w:p>
    <w:p>
      <w:pPr>
        <w:ind w:left="660"/>
        <w:spacing w:after="0" w:line="362" w:lineRule="auto"/>
        <w:rPr>
          <w:rFonts w:ascii="Arial" w:cs="Arial" w:eastAsia="Arial" w:hAnsi="Arial"/>
          <w:sz w:val="22"/>
          <w:szCs w:val="22"/>
          <w:color w:val="40AEFF"/>
        </w:rPr>
      </w:pPr>
      <w:r>
        <w:rPr>
          <w:rFonts w:ascii="Arial" w:cs="Arial" w:eastAsia="Arial" w:hAnsi="Arial"/>
          <w:sz w:val="18"/>
          <w:szCs w:val="18"/>
          <w:color w:val="auto"/>
        </w:rPr>
        <w:t>Q1 2019. This decrease was primarily related to $100.3 million in lower compensation expense related to the supplemental savings plan as falling markets in Q1 2020 reduced the liability compared with an increase from market returns in Q1 2019. Partially offsetting this decrease in compensation expense related to the supplemental savings plan were increases in base salaries and benefits, as our average staff size was 5.3% higher in Q1 2020 compared to Q1 2019 and we modestly increased base salaries at the beginning of the year, as well as a higher interim bonus accrual and stock-based compensation expense. The firm employed 7,471 associates at March 31, 2020, an increase of 1.4% from the end of 2019.</w:t>
      </w:r>
    </w:p>
    <w:p>
      <w:pPr>
        <w:spacing w:after="0" w:line="305" w:lineRule="exact"/>
        <w:rPr>
          <w:rFonts w:ascii="Arial" w:cs="Arial" w:eastAsia="Arial" w:hAnsi="Arial"/>
          <w:sz w:val="22"/>
          <w:szCs w:val="22"/>
          <w:color w:val="40AEFF"/>
        </w:rPr>
      </w:pPr>
    </w:p>
    <w:p>
      <w:pPr>
        <w:ind w:left="660" w:right="540" w:hanging="328"/>
        <w:spacing w:after="0" w:line="406" w:lineRule="auto"/>
        <w:tabs>
          <w:tab w:leader="none" w:pos="660" w:val="left"/>
        </w:tabs>
        <w:numPr>
          <w:ilvl w:val="0"/>
          <w:numId w:val="20"/>
        </w:numPr>
        <w:rPr>
          <w:rFonts w:ascii="Arial" w:cs="Arial" w:eastAsia="Arial" w:hAnsi="Arial"/>
          <w:sz w:val="22"/>
          <w:szCs w:val="22"/>
          <w:color w:val="40AEFF"/>
        </w:rPr>
      </w:pPr>
      <w:r>
        <w:rPr>
          <w:rFonts w:ascii="Arial" w:cs="Arial" w:eastAsia="Arial" w:hAnsi="Arial"/>
          <w:sz w:val="18"/>
          <w:szCs w:val="18"/>
          <w:b w:val="1"/>
          <w:bCs w:val="1"/>
          <w:color w:val="auto"/>
        </w:rPr>
        <w:t xml:space="preserve">Advertising and promotion expenses </w:t>
      </w:r>
      <w:r>
        <w:rPr>
          <w:rFonts w:ascii="Arial" w:cs="Arial" w:eastAsia="Arial" w:hAnsi="Arial"/>
          <w:sz w:val="18"/>
          <w:szCs w:val="18"/>
          <w:color w:val="auto"/>
        </w:rPr>
        <w:t>were $24.9 million in Q1 2020, an increase of 15.3% over Q1 2019. The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driven by more television media activity in Q1 2020 compared to Q1 2019.</w:t>
      </w:r>
    </w:p>
    <w:p>
      <w:pPr>
        <w:spacing w:after="0" w:line="261" w:lineRule="exact"/>
        <w:rPr>
          <w:rFonts w:ascii="Arial" w:cs="Arial" w:eastAsia="Arial" w:hAnsi="Arial"/>
          <w:sz w:val="22"/>
          <w:szCs w:val="22"/>
          <w:color w:val="40AEFF"/>
        </w:rPr>
      </w:pPr>
    </w:p>
    <w:p>
      <w:pPr>
        <w:jc w:val="both"/>
        <w:ind w:left="660" w:right="100" w:hanging="328"/>
        <w:spacing w:after="0" w:line="397" w:lineRule="auto"/>
        <w:tabs>
          <w:tab w:leader="none" w:pos="660" w:val="left"/>
        </w:tabs>
        <w:numPr>
          <w:ilvl w:val="0"/>
          <w:numId w:val="20"/>
        </w:numPr>
        <w:rPr>
          <w:rFonts w:ascii="Arial" w:cs="Arial" w:eastAsia="Arial" w:hAnsi="Arial"/>
          <w:sz w:val="22"/>
          <w:szCs w:val="22"/>
          <w:color w:val="40AEFF"/>
        </w:rPr>
      </w:pPr>
      <w:r>
        <w:rPr>
          <w:rFonts w:ascii="Arial" w:cs="Arial" w:eastAsia="Arial" w:hAnsi="Arial"/>
          <w:sz w:val="18"/>
          <w:szCs w:val="18"/>
          <w:b w:val="1"/>
          <w:bCs w:val="1"/>
          <w:color w:val="auto"/>
        </w:rPr>
        <w:t xml:space="preserve">Technology, occupancy, and facility costs </w:t>
      </w:r>
      <w:r>
        <w:rPr>
          <w:rFonts w:ascii="Arial" w:cs="Arial" w:eastAsia="Arial" w:hAnsi="Arial"/>
          <w:sz w:val="18"/>
          <w:szCs w:val="18"/>
          <w:color w:val="auto"/>
        </w:rPr>
        <w:t>were $105.4 million in Q1 2020, an increase of 7.4% from the $98.1 million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in Q1 2019. The increase was due to the ongoing investment in the firm's technology capabilities, including related depreciation and hosted solution licenses.</w:t>
      </w:r>
    </w:p>
    <w:p>
      <w:pPr>
        <w:spacing w:after="0" w:line="300" w:lineRule="exact"/>
        <w:rPr>
          <w:rFonts w:ascii="Arial" w:cs="Arial" w:eastAsia="Arial" w:hAnsi="Arial"/>
          <w:sz w:val="22"/>
          <w:szCs w:val="22"/>
          <w:color w:val="40AEFF"/>
        </w:rPr>
      </w:pPr>
    </w:p>
    <w:p>
      <w:pPr>
        <w:ind w:left="660" w:right="80" w:hanging="328"/>
        <w:spacing w:after="0" w:line="404" w:lineRule="auto"/>
        <w:tabs>
          <w:tab w:leader="none" w:pos="660" w:val="left"/>
        </w:tabs>
        <w:numPr>
          <w:ilvl w:val="0"/>
          <w:numId w:val="20"/>
        </w:numPr>
        <w:rPr>
          <w:rFonts w:ascii="Arial" w:cs="Arial" w:eastAsia="Arial" w:hAnsi="Arial"/>
          <w:sz w:val="22"/>
          <w:szCs w:val="22"/>
          <w:color w:val="40AEFF"/>
        </w:rPr>
      </w:pPr>
      <w:r>
        <w:rPr>
          <w:rFonts w:ascii="Arial" w:cs="Arial" w:eastAsia="Arial" w:hAnsi="Arial"/>
          <w:sz w:val="18"/>
          <w:szCs w:val="18"/>
          <w:b w:val="1"/>
          <w:bCs w:val="1"/>
          <w:color w:val="auto"/>
        </w:rPr>
        <w:t xml:space="preserve">General, administrative, and other costs </w:t>
      </w:r>
      <w:r>
        <w:rPr>
          <w:rFonts w:ascii="Arial" w:cs="Arial" w:eastAsia="Arial" w:hAnsi="Arial"/>
          <w:sz w:val="18"/>
          <w:szCs w:val="18"/>
          <w:color w:val="auto"/>
        </w:rPr>
        <w:t>were $77.1 million in Q1 2020, an increase of 5.6% compared with the $73.0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Q1 2019. The increase was primarily due to higher third-party investment research costs and professional fees. These higher costs were partially offset by lower travel expenses as global travel restrictions were put in place amid the coronavirus pandemic.</w:t>
      </w:r>
    </w:p>
    <w:p>
      <w:pPr>
        <w:spacing w:after="0" w:line="292" w:lineRule="exact"/>
        <w:rPr>
          <w:sz w:val="20"/>
          <w:szCs w:val="20"/>
          <w:color w:val="auto"/>
        </w:rPr>
      </w:pPr>
    </w:p>
    <w:p>
      <w:pPr>
        <w:jc w:val="both"/>
        <w:ind w:right="80"/>
        <w:spacing w:after="0" w:line="362" w:lineRule="auto"/>
        <w:rPr>
          <w:sz w:val="20"/>
          <w:szCs w:val="20"/>
          <w:color w:val="auto"/>
        </w:rPr>
      </w:pPr>
      <w:r>
        <w:rPr>
          <w:rFonts w:ascii="Arial" w:cs="Arial" w:eastAsia="Arial" w:hAnsi="Arial"/>
          <w:sz w:val="18"/>
          <w:szCs w:val="18"/>
          <w:color w:val="auto"/>
        </w:rPr>
        <w:t>For Q1 2020, operating expenses on a GAAP basis decreased 5.0% compared to Q1 2019; however, on a non-GAAP basis, they increased 8.1%. Given the market environment, the firm updated its 2020 non-GAAP operating expense growth guidance from a range of 6%-9% to a range of 1%-4%. We expect certain expense categories, such as travel- and AUM-related, to be naturally impacted more than others. Most importantly, the firm will continue to make investments in its critical strategic initiatives to promote long-term growth in the business. The firm could elect to further adjust its expense growth should unforeseen circumstances arise, including significant market movements and ongoing disruption resulting from the coronavirus pandemic.</w:t>
      </w:r>
    </w:p>
    <w:p>
      <w:pPr>
        <w:spacing w:after="0" w:line="278" w:lineRule="exact"/>
        <w:rPr>
          <w:sz w:val="20"/>
          <w:szCs w:val="20"/>
          <w:color w:val="auto"/>
        </w:rPr>
      </w:pPr>
    </w:p>
    <w:p>
      <w:pPr>
        <w:ind w:right="20"/>
        <w:spacing w:after="0" w:line="369" w:lineRule="auto"/>
        <w:rPr>
          <w:sz w:val="20"/>
          <w:szCs w:val="20"/>
          <w:color w:val="auto"/>
        </w:rPr>
      </w:pPr>
      <w:r>
        <w:rPr>
          <w:rFonts w:ascii="Arial" w:cs="Arial" w:eastAsia="Arial" w:hAnsi="Arial"/>
          <w:sz w:val="18"/>
          <w:szCs w:val="18"/>
          <w:b w:val="1"/>
          <w:bCs w:val="1"/>
          <w:color w:val="auto"/>
        </w:rPr>
        <w:t xml:space="preserve">Non-operating income (loss). </w:t>
      </w:r>
      <w:r>
        <w:rPr>
          <w:rFonts w:ascii="Arial" w:cs="Arial" w:eastAsia="Arial" w:hAnsi="Arial"/>
          <w:sz w:val="18"/>
          <w:szCs w:val="18"/>
          <w:color w:val="auto"/>
        </w:rPr>
        <w:t>Non-operating loss was $500.3 million in Q1 2020, as compared to non-operating income of $202.8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Q1 2019. The firm's consolidated investment products and supplemental savings plan hedge portfolio comprised about 80% of the net losses recognized during Q1 2020. The cash and discretionary investment portfolio also experienced net investment losses of $61.2 million in the 2020 quarter. The components of non-operating income (loss) for the Q1 2020 and Q1 2019 are included in the tables at the end of this release.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46" w:name="page47"/>
    <w:bookmarkEnd w:id="46"/>
    <w:p>
      <w:pPr>
        <w:ind w:right="280"/>
        <w:spacing w:after="0" w:line="369"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firm's effective tax rate was 19.5% in Q1 2020 compared with 24.7% in Q1 2019. The firm's lower effective tax rate for</w:t>
      </w:r>
      <w:r>
        <w:rPr>
          <w:rFonts w:ascii="Arial" w:cs="Arial" w:eastAsia="Arial" w:hAnsi="Arial"/>
          <w:sz w:val="18"/>
          <w:szCs w:val="18"/>
          <w:b w:val="1"/>
          <w:bCs w:val="1"/>
          <w:color w:val="auto"/>
        </w:rPr>
        <w:t xml:space="preserve"> </w:t>
      </w:r>
      <w:r>
        <w:rPr>
          <w:rFonts w:ascii="Arial" w:cs="Arial" w:eastAsia="Arial" w:hAnsi="Arial"/>
          <w:sz w:val="18"/>
          <w:szCs w:val="18"/>
          <w:color w:val="auto"/>
        </w:rPr>
        <w:t>Q1 2020 as compared to the 2019 quarter was driven primarily by higher discrete tax benefits associated with option exercises. These benefits were partially offset by net losses attributable to redeemable non-controlling interests held in the firm's consolidated investment products, which are not taxable to the firm despite being included in pre-tax income, and a higher state effective tax rate. The higher state effective tax rate results primarily from the remeasurement of deferred tax liabilities related to the firm's investment portfolio.</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reconciles the statutory federal income tax rate to the firm's effective tax rate for the first quarter of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1" w:lineRule="exact"/>
        <w:rPr>
          <w:sz w:val="20"/>
          <w:szCs w:val="20"/>
          <w:color w:val="auto"/>
        </w:rPr>
      </w:pPr>
    </w:p>
    <w:p>
      <w:pPr>
        <w:ind w:left="898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14605</wp:posOffset>
            </wp:positionV>
            <wp:extent cx="2040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3/31/2020</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3/31/2019</w:t>
            </w:r>
          </w:p>
        </w:tc>
      </w:tr>
      <w:tr>
        <w:trPr>
          <w:trHeight w:val="256"/>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Statutory U.S. federal income tax rate</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70"/>
        </w:trPr>
        <w:tc>
          <w:tcPr>
            <w:tcW w:w="8020" w:type="dxa"/>
            <w:vAlign w:val="bottom"/>
          </w:tcPr>
          <w:p>
            <w:pPr>
              <w:ind w:left="40"/>
              <w:spacing w:after="0"/>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3"/>
                <w:szCs w:val="23"/>
                <w:color w:val="auto"/>
              </w:rPr>
            </w:pPr>
          </w:p>
        </w:tc>
        <w:tc>
          <w:tcPr>
            <w:tcW w:w="1560" w:type="dxa"/>
            <w:vAlign w:val="bottom"/>
          </w:tcPr>
          <w:p>
            <w:pPr>
              <w:jc w:val="right"/>
              <w:ind w:right="140"/>
              <w:spacing w:after="0"/>
              <w:rPr>
                <w:sz w:val="20"/>
                <w:szCs w:val="20"/>
                <w:color w:val="auto"/>
              </w:rPr>
            </w:pPr>
            <w:r>
              <w:rPr>
                <w:rFonts w:ascii="Arial" w:cs="Arial" w:eastAsia="Arial" w:hAnsi="Arial"/>
                <w:sz w:val="16"/>
                <w:szCs w:val="16"/>
                <w:color w:val="auto"/>
              </w:rPr>
              <w:t>4.2</w:t>
            </w:r>
          </w:p>
        </w:tc>
      </w:tr>
      <w:tr>
        <w:trPr>
          <w:trHeight w:val="270"/>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losses (income) attributable to redeemable non-controlling interests</w:t>
            </w: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r>
      <w:tr>
        <w:trPr>
          <w:trHeight w:val="260"/>
        </w:trPr>
        <w:tc>
          <w:tcPr>
            <w:tcW w:w="8020" w:type="dxa"/>
            <w:vAlign w:val="bottom"/>
          </w:tcPr>
          <w:p>
            <w:pPr>
              <w:ind w:left="40"/>
              <w:spacing w:after="0"/>
              <w:rPr>
                <w:sz w:val="20"/>
                <w:szCs w:val="20"/>
                <w:color w:val="auto"/>
              </w:rPr>
            </w:pPr>
            <w:r>
              <w:rPr>
                <w:rFonts w:ascii="Arial" w:cs="Arial" w:eastAsia="Arial" w:hAnsi="Arial"/>
                <w:sz w:val="16"/>
                <w:szCs w:val="16"/>
                <w:color w:val="auto"/>
              </w:rPr>
              <w:t>Net excess tax benefits from stock-based compensation plans activity</w:t>
            </w: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1560" w:type="dxa"/>
            <w:vAlign w:val="bottom"/>
          </w:tcPr>
          <w:p>
            <w:pPr>
              <w:jc w:val="right"/>
              <w:ind w:right="100"/>
              <w:spacing w:after="0"/>
              <w:rPr>
                <w:sz w:val="20"/>
                <w:szCs w:val="20"/>
                <w:color w:val="auto"/>
              </w:rPr>
            </w:pPr>
            <w:r>
              <w:rPr>
                <w:rFonts w:ascii="Arial" w:cs="Arial" w:eastAsia="Arial" w:hAnsi="Arial"/>
                <w:sz w:val="16"/>
                <w:szCs w:val="16"/>
                <w:color w:val="auto"/>
              </w:rPr>
              <w:t>(.6)</w:t>
            </w:r>
          </w:p>
        </w:tc>
      </w:tr>
      <w:tr>
        <w:trPr>
          <w:trHeight w:val="273"/>
        </w:trPr>
        <w:tc>
          <w:tcPr>
            <w:tcW w:w="8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items</w:t>
            </w:r>
          </w:p>
        </w:tc>
        <w:tc>
          <w:tcPr>
            <w:tcW w:w="15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.7</w:t>
            </w:r>
          </w:p>
        </w:tc>
      </w:tr>
      <w:tr>
        <w:trPr>
          <w:trHeight w:val="237"/>
        </w:trPr>
        <w:tc>
          <w:tcPr>
            <w:tcW w:w="802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560" w:type="dxa"/>
            <w:vAlign w:val="bottom"/>
          </w:tcPr>
          <w:p>
            <w:pPr>
              <w:jc w:val="right"/>
              <w:spacing w:after="0"/>
              <w:rPr>
                <w:sz w:val="20"/>
                <w:szCs w:val="20"/>
                <w:color w:val="auto"/>
              </w:rPr>
            </w:pPr>
            <w:r>
              <w:rPr>
                <w:rFonts w:ascii="Arial" w:cs="Arial" w:eastAsia="Arial" w:hAnsi="Arial"/>
                <w:sz w:val="16"/>
                <w:szCs w:val="16"/>
                <w:color w:val="auto"/>
              </w:rPr>
              <w:t>19.5 %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3810</wp:posOffset>
            </wp:positionV>
            <wp:extent cx="204025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040255" cy="26035"/>
                    </a:xfrm>
                    <a:prstGeom prst="rect">
                      <a:avLst/>
                    </a:prstGeom>
                    <a:noFill/>
                  </pic:spPr>
                </pic:pic>
              </a:graphicData>
            </a:graphic>
          </wp:anchor>
        </w:drawing>
      </w:r>
    </w:p>
    <w:p>
      <w:pPr>
        <w:spacing w:after="0" w:line="17" w:lineRule="exact"/>
        <w:rPr>
          <w:sz w:val="20"/>
          <w:szCs w:val="20"/>
          <w:color w:val="auto"/>
        </w:rPr>
      </w:pPr>
    </w:p>
    <w:p>
      <w:pPr>
        <w:ind w:left="180" w:right="360" w:hanging="172"/>
        <w:spacing w:after="0"/>
        <w:tabs>
          <w:tab w:leader="none" w:pos="153" w:val="left"/>
        </w:tabs>
        <w:numPr>
          <w:ilvl w:val="0"/>
          <w:numId w:val="2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(loss) attributable to redeemable non-controlling interests and stock-based compensation plans activity.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firm estimates its GAAP effective tax rate for the full year 2020 will be in the range of 24% to 27%.</w:t>
      </w:r>
    </w:p>
    <w:p>
      <w:pPr>
        <w:spacing w:after="0" w:line="279" w:lineRule="exact"/>
        <w:rPr>
          <w:sz w:val="20"/>
          <w:szCs w:val="20"/>
          <w:color w:val="auto"/>
        </w:rPr>
      </w:pPr>
    </w:p>
    <w:p>
      <w:pPr>
        <w:ind w:left="660" w:right="140" w:hanging="328"/>
        <w:spacing w:after="0" w:line="3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firm's non-GAAP effective tax rate was 22.5% in Q1 2020 compared with 25.3% in Q1 2019. The non-GAAP tax rate primarily adjusts for the impact of the consolidated investment products, including the significant net losses attributable to the redeemable non-controlling interests. The decrease in the non-GAAP effective tax rate is primarily due to the higher tax benefits associated with option exercises. The firm estimates that its effective tax rate for the full-year 2020 on a non-GAAP basis will be in the range of 23.5% to 25.5%.</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 Rowe Price remains debt-free with ample liquidity, including cash and investments in T. Rowe Price products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rPr>
              <w:t>3/31/2020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color w:val="auto"/>
              </w:rPr>
              <w:t>12/31/2019</w:t>
            </w:r>
          </w:p>
        </w:tc>
      </w:tr>
      <w:tr>
        <w:trPr>
          <w:trHeight w:val="249"/>
        </w:trPr>
        <w:tc>
          <w:tcPr>
            <w:tcW w:w="83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1,562.4</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1,781.8</w:t>
            </w:r>
          </w:p>
        </w:tc>
      </w:tr>
      <w:tr>
        <w:trPr>
          <w:trHeight w:val="27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1,841.4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1,899.6</w:t>
            </w:r>
          </w:p>
        </w:tc>
      </w:tr>
      <w:tr>
        <w:trPr>
          <w:trHeight w:val="250"/>
        </w:trPr>
        <w:tc>
          <w:tcPr>
            <w:tcW w:w="838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3,681.4</w:t>
            </w:r>
          </w:p>
        </w:tc>
      </w:tr>
      <w:tr>
        <w:trPr>
          <w:trHeight w:val="27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1,325.6</w:t>
            </w:r>
          </w:p>
        </w:tc>
      </w:tr>
      <w:tr>
        <w:trPr>
          <w:trHeight w:val="264"/>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561.1</w:t>
            </w:r>
          </w:p>
        </w:tc>
      </w:tr>
      <w:tr>
        <w:trPr>
          <w:trHeight w:val="25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4,985.4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5,568.1</w:t>
            </w:r>
          </w:p>
        </w:tc>
      </w:tr>
      <w:tr>
        <w:trPr>
          <w:trHeight w:val="20"/>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580" w:right="940" w:hanging="5572"/>
        <w:spacing w:after="0" w:line="787" w:lineRule="auto"/>
        <w:tabs>
          <w:tab w:leader="none" w:pos="338" w:val="left"/>
        </w:tabs>
        <w:numPr>
          <w:ilvl w:val="0"/>
          <w:numId w:val="23"/>
        </w:numPr>
        <w:rPr>
          <w:rFonts w:ascii="Arial" w:cs="Arial" w:eastAsia="Arial" w:hAnsi="Arial"/>
          <w:sz w:val="22"/>
          <w:szCs w:val="22"/>
          <w:color w:val="40AEFF"/>
        </w:rPr>
      </w:pPr>
      <w:r>
        <w:rPr>
          <w:rFonts w:ascii="Arial" w:cs="Arial" w:eastAsia="Arial" w:hAnsi="Arial"/>
          <w:sz w:val="18"/>
          <w:szCs w:val="18"/>
          <w:color w:val="auto"/>
        </w:rPr>
        <w:t>The firm's common shares outstanding were 228.0 million at March 31, 2020, compared with 235.2 million at the end of 2019.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47" w:name="page48"/>
    <w:bookmarkEnd w:id="47"/>
    <w:p>
      <w:pPr>
        <w:ind w:left="340" w:right="60" w:hanging="332"/>
        <w:spacing w:after="0" w:line="370" w:lineRule="auto"/>
        <w:tabs>
          <w:tab w:leader="none" w:pos="340" w:val="left"/>
        </w:tabs>
        <w:numPr>
          <w:ilvl w:val="0"/>
          <w:numId w:val="24"/>
        </w:numPr>
        <w:rPr>
          <w:rFonts w:ascii="Arial" w:cs="Arial" w:eastAsia="Arial" w:hAnsi="Arial"/>
          <w:sz w:val="22"/>
          <w:szCs w:val="22"/>
          <w:color w:val="40AEFF"/>
        </w:rPr>
      </w:pPr>
      <w:r>
        <w:rPr>
          <w:rFonts w:ascii="Arial" w:cs="Arial" w:eastAsia="Arial" w:hAnsi="Arial"/>
          <w:sz w:val="18"/>
          <w:szCs w:val="18"/>
          <w:color w:val="auto"/>
        </w:rPr>
        <w:t>In Q1 2020, the firm expended $887.0 million to repurchase 8.3 million shares, or 3.5%, of its outstanding common shares at an average price of $106.43.</w:t>
      </w:r>
    </w:p>
    <w:p>
      <w:pPr>
        <w:ind w:left="340" w:hanging="332"/>
        <w:spacing w:after="0"/>
        <w:tabs>
          <w:tab w:leader="none" w:pos="340" w:val="left"/>
        </w:tabs>
        <w:numPr>
          <w:ilvl w:val="0"/>
          <w:numId w:val="24"/>
        </w:numPr>
        <w:rPr>
          <w:rFonts w:ascii="Arial" w:cs="Arial" w:eastAsia="Arial" w:hAnsi="Arial"/>
          <w:sz w:val="22"/>
          <w:szCs w:val="22"/>
          <w:color w:val="40AEFF"/>
        </w:rPr>
      </w:pPr>
      <w:r>
        <w:rPr>
          <w:rFonts w:ascii="Arial" w:cs="Arial" w:eastAsia="Arial" w:hAnsi="Arial"/>
          <w:sz w:val="18"/>
          <w:szCs w:val="18"/>
          <w:color w:val="auto"/>
        </w:rPr>
        <w:t>In February 2020, the firm increased its quarterly dividend by 18.4% to $.90 per common share.</w:t>
      </w:r>
    </w:p>
    <w:p>
      <w:pPr>
        <w:spacing w:after="0" w:line="147" w:lineRule="exact"/>
        <w:rPr>
          <w:rFonts w:ascii="Arial" w:cs="Arial" w:eastAsia="Arial" w:hAnsi="Arial"/>
          <w:sz w:val="22"/>
          <w:szCs w:val="22"/>
          <w:color w:val="40AEFF"/>
        </w:rPr>
      </w:pPr>
    </w:p>
    <w:p>
      <w:pPr>
        <w:ind w:left="340" w:hanging="332"/>
        <w:spacing w:after="0" w:line="385" w:lineRule="auto"/>
        <w:tabs>
          <w:tab w:leader="none" w:pos="340" w:val="left"/>
        </w:tabs>
        <w:numPr>
          <w:ilvl w:val="0"/>
          <w:numId w:val="24"/>
        </w:numPr>
        <w:rPr>
          <w:rFonts w:ascii="Arial" w:cs="Arial" w:eastAsia="Arial" w:hAnsi="Arial"/>
          <w:sz w:val="22"/>
          <w:szCs w:val="22"/>
          <w:color w:val="40AEFF"/>
        </w:rPr>
      </w:pPr>
      <w:r>
        <w:rPr>
          <w:rFonts w:ascii="Arial" w:cs="Arial" w:eastAsia="Arial" w:hAnsi="Arial"/>
          <w:sz w:val="18"/>
          <w:szCs w:val="18"/>
          <w:color w:val="auto"/>
        </w:rPr>
        <w:t>The firm invested $46.0 million during Q1 2020 in capitalized facilities and technology and expects capital expenditures, including internal labor capitalization, for 2020 to be up to $230 million, of which about three-quarters is planned for technology initiatives. These expenditures are expected to continue to be funded from the firm's operating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Performance</w:t>
      </w:r>
    </w:p>
    <w:p>
      <w:pPr>
        <w:spacing w:after="0" w:line="69" w:lineRule="exact"/>
        <w:rPr>
          <w:sz w:val="20"/>
          <w:szCs w:val="20"/>
          <w:color w:val="auto"/>
        </w:rPr>
      </w:pPr>
    </w:p>
    <w:p>
      <w:pPr>
        <w:ind w:right="140"/>
        <w:spacing w:after="0" w:line="396" w:lineRule="auto"/>
        <w:rPr>
          <w:sz w:val="20"/>
          <w:szCs w:val="20"/>
          <w:color w:val="auto"/>
        </w:rPr>
      </w:pPr>
      <w:r>
        <w:rPr>
          <w:rFonts w:ascii="Arial" w:cs="Arial" w:eastAsia="Arial" w:hAnsi="Arial"/>
          <w:sz w:val="18"/>
          <w:szCs w:val="18"/>
          <w:color w:val="auto"/>
        </w:rPr>
        <w:t>The percentage of the firm's U.S. mutual funds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(across primary share classes) that outperformed their comparable Morningstar median on a total return basis and that are in the top Morningstar quartile for the one-, three-, five-, and 10-years ended March 31, 2020, were: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40" w:type="dxa"/>
            <w:vAlign w:val="bottom"/>
            <w:shd w:val="clear" w:color="auto" w:fill="CCEEFF"/>
          </w:tcPr>
          <w:p>
            <w:pPr>
              <w:spacing w:after="0"/>
              <w:rPr>
                <w:sz w:val="23"/>
                <w:szCs w:val="23"/>
                <w:color w:val="auto"/>
              </w:rPr>
            </w:pP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1 year</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3 years</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5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 years</w:t>
            </w:r>
          </w:p>
        </w:tc>
      </w:tr>
      <w:tr>
        <w:trPr>
          <w:trHeight w:val="263"/>
        </w:trPr>
        <w:tc>
          <w:tcPr>
            <w:tcW w:w="3740" w:type="dxa"/>
            <w:vAlign w:val="bottom"/>
          </w:tcPr>
          <w:p>
            <w:pPr>
              <w:ind w:left="40"/>
              <w:spacing w:after="0"/>
              <w:rPr>
                <w:sz w:val="20"/>
                <w:szCs w:val="20"/>
                <w:color w:val="auto"/>
              </w:rPr>
            </w:pPr>
            <w:r>
              <w:rPr>
                <w:rFonts w:ascii="Arial" w:cs="Arial" w:eastAsia="Arial" w:hAnsi="Arial"/>
                <w:sz w:val="16"/>
                <w:szCs w:val="16"/>
                <w:color w:val="auto"/>
              </w:rPr>
              <w:t>Outperformed Morningstar median</w:t>
            </w:r>
            <w:r>
              <w:rPr>
                <w:rFonts w:ascii="Arial" w:cs="Arial" w:eastAsia="Arial" w:hAnsi="Arial"/>
                <w:sz w:val="21"/>
                <w:szCs w:val="21"/>
                <w:color w:val="auto"/>
                <w:vertAlign w:val="superscript"/>
              </w:rPr>
              <w:t>(2)</w:t>
            </w:r>
          </w:p>
        </w:tc>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70"/>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r>
      <w:tr>
        <w:trPr>
          <w:trHeight w:val="260"/>
        </w:trPr>
        <w:tc>
          <w:tcPr>
            <w:tcW w:w="374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780" w:type="dxa"/>
            <w:vAlign w:val="bottom"/>
          </w:tcPr>
          <w:p>
            <w:pPr>
              <w:jc w:val="center"/>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84%</w:t>
            </w:r>
          </w:p>
        </w:tc>
      </w:tr>
      <w:tr>
        <w:trPr>
          <w:trHeight w:val="172"/>
        </w:trPr>
        <w:tc>
          <w:tcPr>
            <w:tcW w:w="37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6"/>
                <w:szCs w:val="16"/>
                <w:color w:val="auto"/>
              </w:rPr>
              <w:t>Top Morningstar quartile</w:t>
            </w:r>
            <w:r>
              <w:rPr>
                <w:rFonts w:ascii="Arial" w:cs="Arial" w:eastAsia="Arial" w:hAnsi="Arial"/>
                <w:sz w:val="21"/>
                <w:szCs w:val="21"/>
                <w:color w:val="auto"/>
                <w:vertAlign w:val="superscript"/>
              </w:rPr>
              <w:t>(2)</w:t>
            </w: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3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All funds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28%</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r>
      <w:tr>
        <w:trPr>
          <w:trHeight w:val="251"/>
        </w:trPr>
        <w:tc>
          <w:tcPr>
            <w:tcW w:w="3740" w:type="dxa"/>
            <w:vAlign w:val="bottom"/>
          </w:tcPr>
          <w:p>
            <w:pPr>
              <w:ind w:left="220"/>
              <w:spacing w:after="0"/>
              <w:rPr>
                <w:sz w:val="20"/>
                <w:szCs w:val="20"/>
                <w:color w:val="auto"/>
              </w:rPr>
            </w:pPr>
            <w:r>
              <w:rPr>
                <w:rFonts w:ascii="Arial" w:cs="Arial" w:eastAsia="Arial" w:hAnsi="Arial"/>
                <w:sz w:val="16"/>
                <w:szCs w:val="16"/>
                <w:color w:val="auto"/>
              </w:rPr>
              <w:t>Multi-asset funds</w:t>
            </w:r>
          </w:p>
        </w:tc>
        <w:tc>
          <w:tcPr>
            <w:tcW w:w="1780" w:type="dxa"/>
            <w:vAlign w:val="bottom"/>
          </w:tcPr>
          <w:p>
            <w:pPr>
              <w:jc w:val="center"/>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24%</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9"/>
              </w:rPr>
              <w:t>68%</w:t>
            </w:r>
          </w:p>
        </w:tc>
      </w:tr>
    </w:tbl>
    <w:p>
      <w:pPr>
        <w:spacing w:after="0" w:line="2"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9"/>
          <w:szCs w:val="9"/>
          <w:i w:val="1"/>
          <w:iCs w:val="1"/>
          <w:color w:val="auto"/>
        </w:rPr>
      </w:pPr>
      <w:r>
        <w:rPr>
          <w:rFonts w:ascii="Arial" w:cs="Arial" w:eastAsia="Arial" w:hAnsi="Arial"/>
          <w:sz w:val="13"/>
          <w:szCs w:val="13"/>
          <w:i w:val="1"/>
          <w:iCs w:val="1"/>
          <w:color w:val="auto"/>
        </w:rPr>
        <w:t>Excludes passive and fund categories not ranked by Morningstar.</w:t>
      </w:r>
    </w:p>
    <w:p>
      <w:pPr>
        <w:spacing w:after="0" w:line="11" w:lineRule="exact"/>
        <w:rPr>
          <w:rFonts w:ascii="Arial" w:cs="Arial" w:eastAsia="Arial" w:hAnsi="Arial"/>
          <w:sz w:val="9"/>
          <w:szCs w:val="9"/>
          <w:i w:val="1"/>
          <w:iCs w:val="1"/>
          <w:color w:val="auto"/>
        </w:rPr>
      </w:pPr>
    </w:p>
    <w:p>
      <w:pPr>
        <w:ind w:left="180" w:right="40" w:hanging="172"/>
        <w:spacing w:after="0"/>
        <w:tabs>
          <w:tab w:leader="none" w:pos="153" w:val="left"/>
        </w:tabs>
        <w:numPr>
          <w:ilvl w:val="0"/>
          <w:numId w:val="25"/>
        </w:numPr>
        <w:rPr>
          <w:rFonts w:ascii="Arial" w:cs="Arial" w:eastAsia="Arial" w:hAnsi="Arial"/>
          <w:sz w:val="9"/>
          <w:szCs w:val="9"/>
          <w:i w:val="1"/>
          <w:iCs w:val="1"/>
          <w:color w:val="auto"/>
        </w:rPr>
      </w:pPr>
      <w:r>
        <w:rPr>
          <w:rFonts w:ascii="Arial" w:cs="Arial" w:eastAsia="Arial" w:hAnsi="Arial"/>
          <w:sz w:val="13"/>
          <w:szCs w:val="13"/>
          <w:i w:val="1"/>
          <w:iCs w:val="1"/>
          <w:color w:val="auto"/>
        </w:rPr>
        <w:t>Source: © 2020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Past performance is no guarantee of future results.</w:t>
      </w:r>
    </w:p>
    <w:p>
      <w:pPr>
        <w:spacing w:after="0" w:line="367"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In addition, 76% of assets under management in the the firm's rated U.S. mutual funds (across primary share classes) ended the quarter with an overall rating of four or five stars from Morningstar. The performance of the firm's institutional strategies against their benchmarks remains competitive, especially over longer time periods.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5" w:lineRule="exact"/>
        <w:rPr>
          <w:sz w:val="20"/>
          <w:szCs w:val="20"/>
          <w:color w:val="auto"/>
        </w:rPr>
      </w:pPr>
    </w:p>
    <w:p>
      <w:pPr>
        <w:ind w:right="420"/>
        <w:spacing w:after="0" w:line="365"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first quarter of 2020 with the U.S. Securities and Exchange Commission later today. The Form 10-Q will include additional information on the firm's unaudited consolidated financial statements at March 31, 2020.</w:t>
      </w:r>
    </w:p>
    <w:p>
      <w:pPr>
        <w:spacing w:after="0" w:line="203" w:lineRule="exact"/>
        <w:rPr>
          <w:sz w:val="20"/>
          <w:szCs w:val="20"/>
          <w:color w:val="auto"/>
        </w:rPr>
      </w:pPr>
    </w:p>
    <w:p>
      <w:pPr>
        <w:ind w:right="40"/>
        <w:spacing w:after="0" w:line="362" w:lineRule="auto"/>
        <w:rPr>
          <w:sz w:val="20"/>
          <w:szCs w:val="20"/>
          <w:color w:val="auto"/>
        </w:rPr>
      </w:pPr>
      <w:r>
        <w:rPr>
          <w:rFonts w:ascii="Arial" w:cs="Arial" w:eastAsia="Arial" w:hAnsi="Arial"/>
          <w:sz w:val="18"/>
          <w:szCs w:val="18"/>
          <w:color w:val="auto"/>
        </w:rPr>
        <w:t>Certain statements in this earnings release may represent “forward-looking information,” including information relating to anticipated changes in revenues, net income and earnings per common share, anticipated changes in the amount and composition of assets under management, anticipated expense levels, estimated effective tax rates, and expectations regarding financial results, future transactions, new products and services, investments, capital expenditures, dividends, stock repurchases, changes in our effective fee rate, the impact of the coronavirus pandemic, and other market conditions. For a discussion concerning risks and other factors that could affect future results, see the firm's Form 10-Q for the first quarter for 2020 and 2019 Annual Report on Form 10-K.</w:t>
      </w:r>
    </w:p>
    <w:p>
      <w:pPr>
        <w:spacing w:after="0" w:line="184" w:lineRule="exact"/>
        <w:rPr>
          <w:sz w:val="20"/>
          <w:szCs w:val="20"/>
          <w:color w:val="auto"/>
        </w:rPr>
      </w:pPr>
    </w:p>
    <w:p>
      <w:pPr>
        <w:ind w:right="160"/>
        <w:spacing w:after="0" w:line="396"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b w:val="1"/>
          <w:bCs w:val="1"/>
          <w:color w:val="054C70"/>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right="120"/>
        <w:spacing w:after="0" w:line="365" w:lineRule="auto"/>
        <w:rPr>
          <w:sz w:val="20"/>
          <w:szCs w:val="20"/>
          <w:color w:val="auto"/>
        </w:rPr>
      </w:pPr>
      <w:r>
        <w:rPr>
          <w:rFonts w:ascii="Arial" w:cs="Arial" w:eastAsia="Arial" w:hAnsi="Arial"/>
          <w:sz w:val="18"/>
          <w:szCs w:val="18"/>
          <w:color w:val="auto"/>
        </w:rPr>
        <w:t>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3"/>
          </w:tcPr>
          <w:p>
            <w:pPr>
              <w:spacing w:after="0"/>
              <w:rPr>
                <w:sz w:val="20"/>
                <w:szCs w:val="20"/>
                <w:color w:val="auto"/>
              </w:rPr>
            </w:pPr>
            <w:r>
              <w:rPr>
                <w:rFonts w:ascii="Arial" w:cs="Arial" w:eastAsia="Arial" w:hAnsi="Arial"/>
                <w:sz w:val="18"/>
                <w:szCs w:val="18"/>
                <w:b w:val="1"/>
                <w:bCs w:val="1"/>
                <w:color w:val="05C3DE"/>
              </w:rPr>
              <w:t>CONTACTS:</w:t>
            </w:r>
          </w:p>
        </w:tc>
        <w:tc>
          <w:tcPr>
            <w:tcW w:w="2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054C70"/>
                <w:w w:val="98"/>
              </w:rPr>
              <w:t>Public Relations</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054C70"/>
              </w:rPr>
              <w:t>Investor Relations</w:t>
            </w:r>
          </w:p>
        </w:tc>
      </w:tr>
      <w:tr>
        <w:trPr>
          <w:trHeight w:val="291"/>
        </w:trPr>
        <w:tc>
          <w:tcPr>
            <w:tcW w:w="40" w:type="dxa"/>
            <w:vAlign w:val="bottom"/>
          </w:tcPr>
          <w:p>
            <w:pPr>
              <w:spacing w:after="0"/>
              <w:rPr>
                <w:sz w:val="24"/>
                <w:szCs w:val="24"/>
                <w:color w:val="auto"/>
              </w:rPr>
            </w:pPr>
          </w:p>
        </w:tc>
        <w:tc>
          <w:tcPr>
            <w:tcW w:w="140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Brian Lewbart</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60" w:type="dxa"/>
            <w:vAlign w:val="bottom"/>
            <w:tcBorders>
              <w:top w:val="single" w:sz="8" w:color="054C70"/>
            </w:tcBorders>
          </w:tcPr>
          <w:p>
            <w:pPr>
              <w:spacing w:after="0"/>
              <w:rPr>
                <w:sz w:val="20"/>
                <w:szCs w:val="20"/>
                <w:color w:val="auto"/>
              </w:rPr>
            </w:pPr>
            <w:r>
              <w:rPr>
                <w:rFonts w:ascii="Arial" w:cs="Arial" w:eastAsia="Arial" w:hAnsi="Arial"/>
                <w:sz w:val="18"/>
                <w:szCs w:val="18"/>
                <w:color w:val="3B3B3B"/>
              </w:rPr>
              <w:t>Meghan Azevedo</w:t>
            </w:r>
          </w:p>
        </w:tc>
        <w:tc>
          <w:tcPr>
            <w:tcW w:w="3240" w:type="dxa"/>
            <w:vAlign w:val="bottom"/>
          </w:tcPr>
          <w:p>
            <w:pPr>
              <w:spacing w:after="0"/>
              <w:rPr>
                <w:sz w:val="24"/>
                <w:szCs w:val="24"/>
                <w:color w:val="auto"/>
              </w:rPr>
            </w:pPr>
          </w:p>
        </w:tc>
      </w:tr>
      <w:tr>
        <w:trPr>
          <w:trHeight w:val="270"/>
        </w:trPr>
        <w:tc>
          <w:tcPr>
            <w:tcW w:w="1440" w:type="dxa"/>
            <w:vAlign w:val="bottom"/>
            <w:gridSpan w:val="2"/>
          </w:tcPr>
          <w:p>
            <w:pPr>
              <w:ind w:left="40"/>
              <w:spacing w:after="0"/>
              <w:rPr>
                <w:sz w:val="20"/>
                <w:szCs w:val="20"/>
                <w:color w:val="auto"/>
              </w:rPr>
            </w:pPr>
            <w:r>
              <w:rPr>
                <w:rFonts w:ascii="Arial" w:cs="Arial" w:eastAsia="Arial" w:hAnsi="Arial"/>
                <w:sz w:val="18"/>
                <w:szCs w:val="18"/>
                <w:color w:val="3B3B3B"/>
              </w:rPr>
              <w:t>410-345-2242</w:t>
            </w:r>
          </w:p>
        </w:tc>
        <w:tc>
          <w:tcPr>
            <w:tcW w:w="2680" w:type="dxa"/>
            <w:vAlign w:val="bottom"/>
          </w:tcPr>
          <w:p>
            <w:pPr>
              <w:spacing w:after="0"/>
              <w:rPr>
                <w:sz w:val="23"/>
                <w:szCs w:val="23"/>
                <w:color w:val="auto"/>
              </w:rPr>
            </w:pPr>
          </w:p>
        </w:tc>
        <w:tc>
          <w:tcPr>
            <w:tcW w:w="3880" w:type="dxa"/>
            <w:vAlign w:val="bottom"/>
            <w:gridSpan w:val="2"/>
          </w:tcPr>
          <w:p>
            <w:pPr>
              <w:ind w:left="2320"/>
              <w:spacing w:after="0"/>
              <w:rPr>
                <w:sz w:val="20"/>
                <w:szCs w:val="20"/>
                <w:color w:val="auto"/>
              </w:rPr>
            </w:pPr>
            <w:r>
              <w:rPr>
                <w:rFonts w:ascii="Arial" w:cs="Arial" w:eastAsia="Arial" w:hAnsi="Arial"/>
                <w:sz w:val="18"/>
                <w:szCs w:val="18"/>
                <w:color w:val="3B3B3B"/>
              </w:rPr>
              <w:t>410-345-2756</w:t>
            </w:r>
          </w:p>
        </w:tc>
        <w:tc>
          <w:tcPr>
            <w:tcW w:w="32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054C70"/>
              </w:rPr>
              <w:t>brian.lewbart@troweprice.com</w:t>
            </w:r>
          </w:p>
        </w:tc>
        <w:tc>
          <w:tcPr>
            <w:tcW w:w="7120" w:type="dxa"/>
            <w:vAlign w:val="bottom"/>
            <w:gridSpan w:val="3"/>
          </w:tcPr>
          <w:p>
            <w:pPr>
              <w:ind w:left="2320"/>
              <w:spacing w:after="0"/>
              <w:rPr>
                <w:sz w:val="20"/>
                <w:szCs w:val="20"/>
                <w:color w:val="auto"/>
              </w:rPr>
            </w:pPr>
            <w:r>
              <w:rPr>
                <w:rFonts w:ascii="Arial" w:cs="Arial" w:eastAsia="Arial" w:hAnsi="Arial"/>
                <w:sz w:val="18"/>
                <w:szCs w:val="18"/>
                <w:b w:val="1"/>
                <w:bCs w:val="1"/>
                <w:color w:val="054C70"/>
              </w:rPr>
              <w:t>meghan.azevedo@troweprice.com</w:t>
            </w:r>
          </w:p>
        </w:tc>
      </w:tr>
      <w:tr>
        <w:trPr>
          <w:trHeight w:val="66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20" w:type="dxa"/>
            <w:vAlign w:val="bottom"/>
          </w:tcPr>
          <w:p>
            <w:pPr>
              <w:jc w:val="right"/>
              <w:ind w:right="670"/>
              <w:spacing w:after="0"/>
              <w:rPr>
                <w:sz w:val="20"/>
                <w:szCs w:val="20"/>
                <w:color w:val="auto"/>
              </w:rPr>
            </w:pPr>
            <w:r>
              <w:rPr>
                <w:rFonts w:ascii="Arial" w:cs="Arial" w:eastAsia="Arial" w:hAnsi="Arial"/>
                <w:sz w:val="18"/>
                <w:szCs w:val="18"/>
                <w:color w:val="auto"/>
              </w:rPr>
              <w:t>8</w:t>
            </w:r>
          </w:p>
        </w:tc>
        <w:tc>
          <w:tcPr>
            <w:tcW w:w="15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18"/>
        </w:trPr>
        <w:tc>
          <w:tcPr>
            <w:tcW w:w="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242570</wp:posOffset>
            </wp:positionH>
            <wp:positionV relativeFrom="page">
              <wp:posOffset>457835</wp:posOffset>
            </wp:positionV>
            <wp:extent cx="706374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t>Unaudited Consolidated Statements of Income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2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4"/>
                <w:szCs w:val="14"/>
                <w:color w:val="auto"/>
              </w:rPr>
              <w:t>Three months ended</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r>
      <w:tr>
        <w:trPr>
          <w:trHeight w:val="25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3/31/2020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3/31/2019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12/31/2019</w:t>
            </w:r>
          </w:p>
        </w:tc>
      </w:tr>
      <w:tr>
        <w:trPr>
          <w:trHeight w:val="256"/>
        </w:trPr>
        <w:tc>
          <w:tcPr>
            <w:tcW w:w="7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advisory fees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1,327.8</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1,194.2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1,344.7</w:t>
            </w:r>
          </w:p>
        </w:tc>
      </w:tr>
      <w:tr>
        <w:trPr>
          <w:trHeight w:val="264"/>
        </w:trPr>
        <w:tc>
          <w:tcPr>
            <w:tcW w:w="72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Administrative, distribution, and servicing fees</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124.0</w:t>
            </w:r>
          </w:p>
        </w:tc>
      </w:tr>
      <w:tr>
        <w:trPr>
          <w:trHeight w:val="250"/>
        </w:trPr>
        <w:tc>
          <w:tcPr>
            <w:tcW w:w="72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Net revenues</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1,462.6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1,327.3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1,468.7</w:t>
            </w:r>
          </w:p>
        </w:tc>
      </w:tr>
      <w:tr>
        <w:trPr>
          <w:trHeight w:val="121"/>
        </w:trPr>
        <w:tc>
          <w:tcPr>
            <w:tcW w:w="7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260" w:type="dxa"/>
            <w:vAlign w:val="bottom"/>
          </w:tcPr>
          <w:p>
            <w:pPr>
              <w:ind w:left="160"/>
              <w:spacing w:after="0"/>
              <w:rPr>
                <w:sz w:val="20"/>
                <w:szCs w:val="20"/>
                <w:color w:val="auto"/>
              </w:rPr>
            </w:pPr>
            <w:r>
              <w:rPr>
                <w:rFonts w:ascii="Arial" w:cs="Arial" w:eastAsia="Arial" w:hAnsi="Arial"/>
                <w:sz w:val="14"/>
                <w:szCs w:val="14"/>
                <w:color w:val="auto"/>
              </w:rPr>
              <w:t>Compensation and related costs</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440.7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491.5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528.2</w:t>
            </w:r>
          </w:p>
        </w:tc>
      </w:tr>
      <w:tr>
        <w:trPr>
          <w:trHeight w:val="276"/>
        </w:trPr>
        <w:tc>
          <w:tcPr>
            <w:tcW w:w="7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 and servicing</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r>
      <w:tr>
        <w:trPr>
          <w:trHeight w:val="264"/>
        </w:trPr>
        <w:tc>
          <w:tcPr>
            <w:tcW w:w="7260" w:type="dxa"/>
            <w:vAlign w:val="bottom"/>
          </w:tcPr>
          <w:p>
            <w:pPr>
              <w:ind w:left="160"/>
              <w:spacing w:after="0"/>
              <w:rPr>
                <w:sz w:val="20"/>
                <w:szCs w:val="20"/>
                <w:color w:val="auto"/>
              </w:rPr>
            </w:pPr>
            <w:r>
              <w:rPr>
                <w:rFonts w:ascii="Arial" w:cs="Arial" w:eastAsia="Arial" w:hAnsi="Arial"/>
                <w:sz w:val="14"/>
                <w:szCs w:val="14"/>
                <w:color w:val="auto"/>
              </w:rPr>
              <w:t>Advertising and promotion</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38.3</w:t>
            </w:r>
          </w:p>
        </w:tc>
      </w:tr>
      <w:tr>
        <w:trPr>
          <w:trHeight w:val="276"/>
        </w:trPr>
        <w:tc>
          <w:tcPr>
            <w:tcW w:w="7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Product-related costs</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r>
      <w:tr>
        <w:trPr>
          <w:trHeight w:val="264"/>
        </w:trPr>
        <w:tc>
          <w:tcPr>
            <w:tcW w:w="7260" w:type="dxa"/>
            <w:vAlign w:val="bottom"/>
          </w:tcPr>
          <w:p>
            <w:pPr>
              <w:ind w:left="160"/>
              <w:spacing w:after="0"/>
              <w:rPr>
                <w:sz w:val="20"/>
                <w:szCs w:val="20"/>
                <w:color w:val="auto"/>
              </w:rPr>
            </w:pPr>
            <w:r>
              <w:rPr>
                <w:rFonts w:ascii="Arial" w:cs="Arial" w:eastAsia="Arial" w:hAnsi="Arial"/>
                <w:sz w:val="14"/>
                <w:szCs w:val="14"/>
                <w:color w:val="auto"/>
              </w:rPr>
              <w:t>Technology, occupancy, and facility costs</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117.8</w:t>
            </w:r>
          </w:p>
        </w:tc>
      </w:tr>
      <w:tr>
        <w:trPr>
          <w:trHeight w:val="270"/>
        </w:trPr>
        <w:tc>
          <w:tcPr>
            <w:tcW w:w="7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General, administrative, and other</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99.3</w:t>
            </w:r>
          </w:p>
        </w:tc>
      </w:tr>
      <w:tr>
        <w:trPr>
          <w:trHeight w:val="250"/>
        </w:trPr>
        <w:tc>
          <w:tcPr>
            <w:tcW w:w="7260" w:type="dxa"/>
            <w:vAlign w:val="bottom"/>
            <w:tcBorders>
              <w:bottom w:val="single" w:sz="8" w:color="CCEEFF"/>
            </w:tcBorders>
          </w:tcPr>
          <w:p>
            <w:pPr>
              <w:ind w:left="160"/>
              <w:spacing w:after="0"/>
              <w:rPr>
                <w:sz w:val="20"/>
                <w:szCs w:val="20"/>
                <w:color w:val="auto"/>
              </w:rPr>
            </w:pPr>
            <w:r>
              <w:rPr>
                <w:rFonts w:ascii="Arial" w:cs="Arial" w:eastAsia="Arial" w:hAnsi="Arial"/>
                <w:sz w:val="14"/>
                <w:szCs w:val="14"/>
                <w:b w:val="1"/>
                <w:bCs w:val="1"/>
                <w:color w:val="auto"/>
              </w:rPr>
              <w:t>Total operating expenses</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755.4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794.8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888.4</w:t>
            </w:r>
          </w:p>
        </w:tc>
      </w:tr>
      <w:tr>
        <w:trPr>
          <w:trHeight w:val="175"/>
        </w:trPr>
        <w:tc>
          <w:tcPr>
            <w:tcW w:w="7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64"/>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707.2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532.5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580.3</w:t>
            </w:r>
          </w:p>
        </w:tc>
      </w:tr>
      <w:tr>
        <w:trPr>
          <w:trHeight w:val="182"/>
        </w:trPr>
        <w:tc>
          <w:tcPr>
            <w:tcW w:w="7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64"/>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Non-operating income (loss)</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gains (losses) on investments</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r>
      <w:tr>
        <w:trPr>
          <w:trHeight w:val="264"/>
        </w:trPr>
        <w:tc>
          <w:tcPr>
            <w:tcW w:w="7260" w:type="dxa"/>
            <w:vAlign w:val="bottom"/>
          </w:tcPr>
          <w:p>
            <w:pPr>
              <w:ind w:left="160"/>
              <w:spacing w:after="0"/>
              <w:rPr>
                <w:sz w:val="20"/>
                <w:szCs w:val="20"/>
                <w:color w:val="auto"/>
              </w:rPr>
            </w:pPr>
            <w:r>
              <w:rPr>
                <w:rFonts w:ascii="Arial" w:cs="Arial" w:eastAsia="Arial" w:hAnsi="Arial"/>
                <w:sz w:val="14"/>
                <w:szCs w:val="14"/>
                <w:color w:val="auto"/>
              </w:rPr>
              <w:t>Net gains (losses) on consolidated investment products</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96.6</w:t>
            </w:r>
          </w:p>
        </w:tc>
      </w:tr>
      <w:tr>
        <w:trPr>
          <w:trHeight w:val="270"/>
        </w:trPr>
        <w:tc>
          <w:tcPr>
            <w:tcW w:w="7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 (loss)</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r>
      <w:tr>
        <w:trPr>
          <w:trHeight w:val="250"/>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non-operating income (loss)</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(500.3)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170.0</w:t>
            </w:r>
          </w:p>
        </w:tc>
      </w:tr>
      <w:tr>
        <w:trPr>
          <w:trHeight w:val="162"/>
        </w:trPr>
        <w:tc>
          <w:tcPr>
            <w:tcW w:w="7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4"/>
        </w:trPr>
        <w:tc>
          <w:tcPr>
            <w:tcW w:w="72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735.3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750.3</w:t>
            </w:r>
          </w:p>
        </w:tc>
      </w:tr>
      <w:tr>
        <w:trPr>
          <w:trHeight w:val="270"/>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156.4</w:t>
            </w:r>
          </w:p>
        </w:tc>
      </w:tr>
      <w:tr>
        <w:trPr>
          <w:trHeight w:val="250"/>
        </w:trPr>
        <w:tc>
          <w:tcPr>
            <w:tcW w:w="7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593.9</w:t>
            </w:r>
          </w:p>
        </w:tc>
      </w:tr>
      <w:tr>
        <w:trPr>
          <w:trHeight w:val="270"/>
        </w:trPr>
        <w:tc>
          <w:tcPr>
            <w:tcW w:w="7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net income (loss) attributable to redeemable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r>
      <w:tr>
        <w:trPr>
          <w:trHeight w:val="250"/>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 Rowe Price Group</w:t>
            </w:r>
          </w:p>
        </w:tc>
        <w:tc>
          <w:tcPr>
            <w:tcW w:w="2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343.1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512.6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545.3</w:t>
            </w:r>
          </w:p>
        </w:tc>
      </w:tr>
      <w:tr>
        <w:trPr>
          <w:trHeight w:val="270"/>
        </w:trPr>
        <w:tc>
          <w:tcPr>
            <w:tcW w:w="7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net income allocated to outstanding restricted stock and stock unit holders</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r>
      <w:tr>
        <w:trPr>
          <w:trHeight w:val="282"/>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Net income allocated to T. Rowe Price Group common stockholders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333.7</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499.6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530.7</w:t>
            </w:r>
          </w:p>
        </w:tc>
      </w:tr>
      <w:tr>
        <w:trPr>
          <w:trHeight w:val="210"/>
        </w:trPr>
        <w:tc>
          <w:tcPr>
            <w:tcW w:w="7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64"/>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3"/>
        </w:trPr>
        <w:tc>
          <w:tcPr>
            <w:tcW w:w="7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260" w:type="dxa"/>
            <w:vAlign w:val="bottom"/>
          </w:tcPr>
          <w:p>
            <w:pPr>
              <w:ind w:left="160"/>
              <w:spacing w:after="0"/>
              <w:rPr>
                <w:sz w:val="20"/>
                <w:szCs w:val="20"/>
                <w:color w:val="auto"/>
              </w:rPr>
            </w:pPr>
            <w:r>
              <w:rPr>
                <w:rFonts w:ascii="Arial" w:cs="Arial" w:eastAsia="Arial" w:hAnsi="Arial"/>
                <w:sz w:val="14"/>
                <w:szCs w:val="14"/>
                <w:b w:val="1"/>
                <w:bCs w:val="1"/>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1.41</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2.09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2.24</w:t>
            </w:r>
          </w:p>
        </w:tc>
      </w:tr>
      <w:tr>
        <w:trPr>
          <w:trHeight w:val="169"/>
        </w:trPr>
        <w:tc>
          <w:tcPr>
            <w:tcW w:w="7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r>
      <w:tr>
        <w:trPr>
          <w:trHeight w:val="264"/>
        </w:trPr>
        <w:tc>
          <w:tcPr>
            <w:tcW w:w="7260" w:type="dxa"/>
            <w:vAlign w:val="bottom"/>
          </w:tcPr>
          <w:p>
            <w:pPr>
              <w:ind w:left="20"/>
              <w:spacing w:after="0"/>
              <w:rPr>
                <w:sz w:val="20"/>
                <w:szCs w:val="20"/>
                <w:color w:val="auto"/>
              </w:rPr>
            </w:pPr>
            <w:r>
              <w:rPr>
                <w:rFonts w:ascii="Arial" w:cs="Arial" w:eastAsia="Arial" w:hAnsi="Arial"/>
                <w:sz w:val="14"/>
                <w:szCs w:val="14"/>
                <w:color w:val="auto"/>
              </w:rPr>
              <w:t>Weighted-average common shares</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3"/>
        </w:trPr>
        <w:tc>
          <w:tcPr>
            <w:tcW w:w="7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Outstanding</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234.1</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7260" w:type="dxa"/>
            <w:vAlign w:val="bottom"/>
          </w:tcPr>
          <w:p>
            <w:pPr>
              <w:ind w:left="160"/>
              <w:spacing w:after="0"/>
              <w:rPr>
                <w:sz w:val="20"/>
                <w:szCs w:val="20"/>
                <w:color w:val="auto"/>
              </w:rPr>
            </w:pPr>
            <w:r>
              <w:rPr>
                <w:rFonts w:ascii="Arial" w:cs="Arial" w:eastAsia="Arial" w:hAnsi="Arial"/>
                <w:sz w:val="14"/>
                <w:szCs w:val="14"/>
                <w:color w:val="auto"/>
              </w:rPr>
              <w:t>Outstanding assuming dilution</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237.4</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203200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734" w:right="3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3"/>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Investment Advisory Revenues (in millions)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gridSpan w:val="5"/>
            <w:shd w:val="clear" w:color="auto" w:fill="CCEEFF"/>
          </w:tcPr>
          <w:p>
            <w:pPr>
              <w:jc w:val="right"/>
              <w:ind w:right="768"/>
              <w:spacing w:after="0"/>
              <w:rPr>
                <w:sz w:val="20"/>
                <w:szCs w:val="20"/>
                <w:color w:val="auto"/>
              </w:rPr>
            </w:pPr>
            <w:r>
              <w:rPr>
                <w:rFonts w:ascii="Arial" w:cs="Arial" w:eastAsia="Arial" w:hAnsi="Arial"/>
                <w:sz w:val="14"/>
                <w:szCs w:val="14"/>
                <w:color w:val="auto"/>
              </w:rPr>
              <w:t>Three months ended</w:t>
            </w:r>
          </w:p>
        </w:tc>
      </w:tr>
      <w:tr>
        <w:trPr>
          <w:trHeight w:val="260"/>
        </w:trPr>
        <w:tc>
          <w:tcPr>
            <w:tcW w:w="49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3/31/2020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3/31/2019</w:t>
            </w: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749.8</w:t>
            </w:r>
          </w:p>
        </w:tc>
        <w:tc>
          <w:tcPr>
            <w:tcW w:w="46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694.5</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121.4</w:t>
            </w: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815.9</w:t>
            </w: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318.8</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59.5</w:t>
            </w: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378.3</w:t>
            </w:r>
          </w:p>
        </w:tc>
      </w:tr>
      <w:tr>
        <w:trPr>
          <w:trHeight w:val="242"/>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1,327.8</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1,194.2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4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 Under Management (in billions)</w:t>
            </w:r>
          </w:p>
        </w:tc>
        <w:tc>
          <w:tcPr>
            <w:tcW w:w="260" w:type="dxa"/>
            <w:vAlign w:val="bottom"/>
            <w:tcBorders>
              <w:bottom w:val="single" w:sz="8" w:color="auto"/>
            </w:tcBorders>
            <w:shd w:val="clear" w:color="auto" w:fill="CCEEFF"/>
          </w:tcPr>
          <w:p>
            <w:pPr>
              <w:spacing w:after="0"/>
              <w:rPr>
                <w:sz w:val="22"/>
                <w:szCs w:val="22"/>
                <w:color w:val="auto"/>
              </w:rPr>
            </w:pPr>
          </w:p>
        </w:tc>
        <w:tc>
          <w:tcPr>
            <w:tcW w:w="2800" w:type="dxa"/>
            <w:vAlign w:val="bottom"/>
            <w:tcBorders>
              <w:bottom w:val="single" w:sz="8" w:color="auto"/>
            </w:tcBorders>
            <w:gridSpan w:val="4"/>
            <w:shd w:val="clear" w:color="auto" w:fill="CCEEFF"/>
          </w:tcPr>
          <w:p>
            <w:pPr>
              <w:jc w:val="center"/>
              <w:ind w:right="168"/>
              <w:spacing w:after="0"/>
              <w:rPr>
                <w:sz w:val="20"/>
                <w:szCs w:val="20"/>
                <w:color w:val="auto"/>
              </w:rPr>
            </w:pPr>
            <w:r>
              <w:rPr>
                <w:rFonts w:ascii="Arial" w:cs="Arial" w:eastAsia="Arial" w:hAnsi="Arial"/>
                <w:sz w:val="14"/>
                <w:szCs w:val="14"/>
                <w:color w:val="auto"/>
              </w:rPr>
              <w:t>Average during</w:t>
            </w: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20" w:type="dxa"/>
            <w:vAlign w:val="bottom"/>
            <w:tcBorders>
              <w:right w:val="single" w:sz="8" w:color="auto"/>
            </w:tcBorders>
            <w:gridSpan w:val="5"/>
          </w:tcPr>
          <w:p>
            <w:pPr>
              <w:jc w:val="center"/>
              <w:ind w:right="36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gridSpan w:val="3"/>
          </w:tcPr>
          <w:p>
            <w:pPr>
              <w:jc w:val="right"/>
              <w:ind w:right="48"/>
              <w:spacing w:after="0"/>
              <w:rPr>
                <w:sz w:val="20"/>
                <w:szCs w:val="20"/>
                <w:color w:val="auto"/>
              </w:rPr>
            </w:pPr>
            <w:r>
              <w:rPr>
                <w:rFonts w:ascii="Arial" w:cs="Arial" w:eastAsia="Arial" w:hAnsi="Arial"/>
                <w:sz w:val="14"/>
                <w:szCs w:val="14"/>
                <w:color w:val="auto"/>
              </w:rPr>
              <w:t>As of</w:t>
            </w:r>
          </w:p>
        </w:tc>
        <w:tc>
          <w:tcPr>
            <w:tcW w:w="1200" w:type="dxa"/>
            <w:vAlign w:val="bottom"/>
          </w:tcPr>
          <w:p>
            <w:pPr>
              <w:spacing w:after="0"/>
              <w:rPr>
                <w:sz w:val="21"/>
                <w:szCs w:val="21"/>
                <w:color w:val="auto"/>
              </w:rPr>
            </w:pPr>
          </w:p>
        </w:tc>
      </w:tr>
      <w:tr>
        <w:trPr>
          <w:trHeight w:val="270"/>
        </w:trPr>
        <w:tc>
          <w:tcPr>
            <w:tcW w:w="496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3/31/2020</w:t>
            </w:r>
          </w:p>
        </w:tc>
        <w:tc>
          <w:tcPr>
            <w:tcW w:w="1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3/31/2019</w:t>
            </w: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3/31/2020</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center"/>
              <w:ind w:right="168"/>
              <w:spacing w:after="0"/>
              <w:rPr>
                <w:sz w:val="20"/>
                <w:szCs w:val="20"/>
                <w:color w:val="auto"/>
              </w:rPr>
            </w:pPr>
            <w:r>
              <w:rPr>
                <w:rFonts w:ascii="Arial" w:cs="Arial" w:eastAsia="Arial" w:hAnsi="Arial"/>
                <w:sz w:val="14"/>
                <w:szCs w:val="14"/>
                <w:color w:val="auto"/>
              </w:rPr>
              <w:t>12/31/2019</w:t>
            </w:r>
          </w:p>
        </w:tc>
      </w:tr>
      <w:tr>
        <w:trPr>
          <w:trHeight w:val="258"/>
        </w:trPr>
        <w:tc>
          <w:tcPr>
            <w:tcW w:w="4960" w:type="dxa"/>
            <w:vAlign w:val="bottom"/>
          </w:tcPr>
          <w:p>
            <w:pPr>
              <w:ind w:left="40"/>
              <w:spacing w:after="0"/>
              <w:rPr>
                <w:sz w:val="20"/>
                <w:szCs w:val="20"/>
                <w:color w:val="auto"/>
              </w:rPr>
            </w:pPr>
            <w:r>
              <w:rPr>
                <w:rFonts w:ascii="Arial" w:cs="Arial" w:eastAsia="Arial" w:hAnsi="Arial"/>
                <w:sz w:val="14"/>
                <w:szCs w:val="14"/>
                <w:color w:val="auto"/>
              </w:rPr>
              <w:t>U.S. mutual funds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and blended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487.6</w:t>
            </w: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443.6</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552.4</w:t>
            </w:r>
          </w:p>
        </w:tc>
      </w:tr>
      <w:tr>
        <w:trPr>
          <w:trHeight w:val="264"/>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Fixed income, including money market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122.5</w:t>
            </w: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130.3</w:t>
            </w:r>
          </w:p>
        </w:tc>
      </w:tr>
      <w:tr>
        <w:trPr>
          <w:trHeight w:val="250"/>
        </w:trPr>
        <w:tc>
          <w:tcPr>
            <w:tcW w:w="49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654.3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610.1</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562.3</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682.7</w:t>
            </w:r>
          </w:p>
        </w:tc>
      </w:tr>
      <w:tr>
        <w:trPr>
          <w:trHeight w:val="121"/>
        </w:trPr>
        <w:tc>
          <w:tcPr>
            <w:tcW w:w="4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2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396.3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332.9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412.1</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112.0</w:t>
            </w: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508.4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433.4</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524.1</w:t>
            </w:r>
          </w:p>
        </w:tc>
      </w:tr>
      <w:tr>
        <w:trPr>
          <w:trHeight w:val="243"/>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1,043.5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1,008.8</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1,206.8</w:t>
            </w:r>
          </w:p>
        </w:tc>
      </w:tr>
      <w:tr>
        <w:trPr>
          <w:trHeight w:val="20"/>
        </w:trPr>
        <w:tc>
          <w:tcPr>
            <w:tcW w:w="49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332"/>
        </w:trPr>
        <w:tc>
          <w:tcPr>
            <w:tcW w:w="6560" w:type="dxa"/>
            <w:vAlign w:val="bottom"/>
            <w:gridSpan w:val="4"/>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r>
      <w:tr>
        <w:trPr>
          <w:trHeight w:val="270"/>
        </w:trPr>
        <w:tc>
          <w:tcPr>
            <w:tcW w:w="656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Net Cash Flows After Client Transfers (by investment vehicle and underlying asset class)(1)(2)</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Three months ended</w:t>
            </w:r>
          </w:p>
        </w:tc>
      </w:tr>
      <w:tr>
        <w:trPr>
          <w:trHeight w:val="244"/>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billions)</w:t>
            </w: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3/31/2020</w:t>
            </w: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mutual funds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r>
      <w:tr>
        <w:trPr>
          <w:trHeight w:val="269"/>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Subadvised and separate accounts and other investment products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4960" w:type="dxa"/>
            <w:vAlign w:val="bottom"/>
          </w:tcPr>
          <w:p>
            <w:pPr>
              <w:ind w:left="180"/>
              <w:spacing w:after="0"/>
              <w:rPr>
                <w:sz w:val="20"/>
                <w:szCs w:val="20"/>
                <w:color w:val="auto"/>
              </w:rPr>
            </w:pPr>
            <w:r>
              <w:rPr>
                <w:rFonts w:ascii="Arial" w:cs="Arial" w:eastAsia="Arial" w:hAnsi="Arial"/>
                <w:sz w:val="14"/>
                <w:szCs w:val="14"/>
                <w:color w:val="auto"/>
              </w:rPr>
              <w:t>Equity and blended assets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9.8</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income, including money market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r>
      <w:tr>
        <w:trPr>
          <w:trHeight w:val="242"/>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net cash flows after client transfers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8255</wp:posOffset>
            </wp:positionV>
            <wp:extent cx="917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ind w:left="140" w:hanging="132"/>
        <w:spacing w:after="0"/>
        <w:tabs>
          <w:tab w:leader="none" w:pos="140" w:val="left"/>
        </w:tabs>
        <w:numPr>
          <w:ilvl w:val="0"/>
          <w:numId w:val="26"/>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The asset class net cash flows above include, in addition to net client flows, rebalancing within the target date portfolios in order to maintain their targeted asset allocations.</w:t>
      </w:r>
    </w:p>
    <w:p>
      <w:pPr>
        <w:ind w:left="160" w:hanging="152"/>
        <w:spacing w:after="0"/>
        <w:tabs>
          <w:tab w:leader="none" w:pos="160" w:val="left"/>
        </w:tabs>
        <w:numPr>
          <w:ilvl w:val="0"/>
          <w:numId w:val="26"/>
        </w:numPr>
        <w:rPr>
          <w:rFonts w:ascii="Arial" w:cs="Arial" w:eastAsia="Arial" w:hAnsi="Arial"/>
          <w:sz w:val="9"/>
          <w:szCs w:val="9"/>
          <w:i w:val="1"/>
          <w:iCs w:val="1"/>
          <w:color w:val="auto"/>
        </w:rPr>
      </w:pPr>
      <w:r>
        <w:rPr>
          <w:rFonts w:ascii="Arial" w:cs="Arial" w:eastAsia="Arial" w:hAnsi="Arial"/>
          <w:sz w:val="13"/>
          <w:szCs w:val="13"/>
          <w:i w:val="1"/>
          <w:iCs w:val="1"/>
          <w:color w:val="auto"/>
        </w:rPr>
        <w:t>The underlying assets of the multi-asset portfolios that invest in T. Rowe Price products have been broken out and included in their respective vehicle and asset class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3"/>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Non-Operating Income (Loss) (in millions)</w:t>
            </w:r>
          </w:p>
        </w:tc>
        <w:tc>
          <w:tcPr>
            <w:tcW w:w="26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gridSpan w:val="4"/>
            <w:shd w:val="clear" w:color="auto" w:fill="CCEEFF"/>
          </w:tcPr>
          <w:p>
            <w:pPr>
              <w:jc w:val="right"/>
              <w:ind w:right="768"/>
              <w:spacing w:after="0"/>
              <w:rPr>
                <w:sz w:val="20"/>
                <w:szCs w:val="20"/>
                <w:color w:val="auto"/>
              </w:rPr>
            </w:pPr>
            <w:r>
              <w:rPr>
                <w:rFonts w:ascii="Arial" w:cs="Arial" w:eastAsia="Arial" w:hAnsi="Arial"/>
                <w:sz w:val="14"/>
                <w:szCs w:val="14"/>
                <w:color w:val="auto"/>
              </w:rPr>
              <w:t>Three months ended</w:t>
            </w:r>
          </w:p>
        </w:tc>
      </w:tr>
      <w:tr>
        <w:trPr>
          <w:trHeight w:val="260"/>
        </w:trPr>
        <w:tc>
          <w:tcPr>
            <w:tcW w:w="8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3/31/2020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3/31/2019</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gains (losses) from non-consolidated T. Rowe Price investment products</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Cash and discretionary investments</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 income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Market related gains (losses) and equity in earnings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28.0</w:t>
            </w:r>
          </w:p>
        </w:tc>
      </w:tr>
      <w:tr>
        <w:trPr>
          <w:trHeight w:val="276"/>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Seed capital investments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Dividend income</w:t>
            </w:r>
          </w:p>
        </w:tc>
        <w:tc>
          <w:tcPr>
            <w:tcW w:w="2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Market related gains (losses) and equity in earnings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Net gain recognized upon deconsolidation</w:t>
            </w:r>
          </w:p>
        </w:tc>
        <w:tc>
          <w:tcPr>
            <w:tcW w:w="2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r>
      <w:tr>
        <w:trPr>
          <w:trHeight w:val="250"/>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Total net gains (losses) from non-consolidated T. Rowe Price investment products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(163.0)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95.4</w:t>
            </w: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investment income</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r>
      <w:tr>
        <w:trPr>
          <w:trHeight w:val="250"/>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Net gains (losses) on investments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100.1</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gains (losses) on consolidated sponsored investment portfolios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(loss), including foreign currency gains and losses</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Non-operating income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202.8</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Unaudited Condensed Consolidated Cash Flows Information (in millions)</w:t>
      </w:r>
    </w:p>
    <w:p>
      <w:pPr>
        <w:spacing w:after="0" w:line="127"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7514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275145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40"/>
        <w:spacing w:after="0" w:line="247" w:lineRule="auto"/>
        <w:rPr>
          <w:sz w:val="20"/>
          <w:szCs w:val="20"/>
          <w:color w:val="auto"/>
        </w:rPr>
      </w:pPr>
      <w:r>
        <w:rPr>
          <w:rFonts w:ascii="Arial" w:cs="Arial" w:eastAsia="Arial" w:hAnsi="Arial"/>
          <w:sz w:val="14"/>
          <w:szCs w:val="14"/>
          <w:color w:val="auto"/>
        </w:rPr>
        <w:t>Cash provided by (used in) operating activities, including $58.3 of stock-based compensation expense and $46.1 of depreciation expense in 2020</w:t>
      </w:r>
    </w:p>
    <w:p>
      <w:pPr>
        <w:spacing w:after="0" w:line="39" w:lineRule="exact"/>
        <w:rPr>
          <w:sz w:val="20"/>
          <w:szCs w:val="20"/>
          <w:color w:val="auto"/>
        </w:rPr>
      </w:pPr>
    </w:p>
    <w:p>
      <w:pPr>
        <w:ind w:left="40" w:right="60"/>
        <w:spacing w:after="0" w:line="244" w:lineRule="auto"/>
        <w:rPr>
          <w:sz w:val="20"/>
          <w:szCs w:val="20"/>
          <w:color w:val="auto"/>
        </w:rPr>
      </w:pPr>
      <w:r>
        <w:rPr>
          <w:rFonts w:ascii="Arial" w:cs="Arial" w:eastAsia="Arial" w:hAnsi="Arial"/>
          <w:sz w:val="14"/>
          <w:szCs w:val="14"/>
          <w:color w:val="auto"/>
        </w:rPr>
        <w:t>Cash provided by (used in) investing activities, including $(46.0) for additions to property and equipment, $(225.1) of additions and $299.1M of dispositions to T. Rowe Price investment products in 2020</w:t>
      </w:r>
    </w:p>
    <w:p>
      <w:pPr>
        <w:spacing w:after="0" w:line="44" w:lineRule="exact"/>
        <w:rPr>
          <w:sz w:val="20"/>
          <w:szCs w:val="20"/>
          <w:color w:val="auto"/>
        </w:rPr>
      </w:pPr>
    </w:p>
    <w:p>
      <w:pPr>
        <w:ind w:left="40" w:right="60"/>
        <w:spacing w:after="0" w:line="247" w:lineRule="auto"/>
        <w:rPr>
          <w:sz w:val="20"/>
          <w:szCs w:val="20"/>
          <w:color w:val="auto"/>
        </w:rPr>
      </w:pPr>
      <w:r>
        <w:rPr>
          <w:rFonts w:ascii="Arial" w:cs="Arial" w:eastAsia="Arial" w:hAnsi="Arial"/>
          <w:sz w:val="14"/>
          <w:szCs w:val="14"/>
          <w:color w:val="auto"/>
        </w:rPr>
        <w:t>Cash provided by (used in) financing activities, including T. Rowe Price Group common stock repurchases of $(891.3)* and dividends paid of $(215.2) in 2020</w:t>
      </w:r>
    </w:p>
    <w:p>
      <w:pPr>
        <w:spacing w:after="0" w:line="39" w:lineRule="exact"/>
        <w:rPr>
          <w:sz w:val="20"/>
          <w:szCs w:val="20"/>
          <w:color w:val="auto"/>
        </w:rPr>
      </w:pPr>
    </w:p>
    <w:p>
      <w:pPr>
        <w:ind w:left="40" w:right="20"/>
        <w:spacing w:after="0" w:line="258" w:lineRule="auto"/>
        <w:rPr>
          <w:sz w:val="20"/>
          <w:szCs w:val="20"/>
          <w:color w:val="auto"/>
        </w:rPr>
      </w:pPr>
      <w:r>
        <w:rPr>
          <w:rFonts w:ascii="Arial" w:cs="Arial" w:eastAsia="Arial" w:hAnsi="Arial"/>
          <w:sz w:val="14"/>
          <w:szCs w:val="14"/>
          <w:color w:val="auto"/>
        </w:rPr>
        <w:t>Effect of exchange rate changes on cash and cash equivalents</w:t>
      </w:r>
    </w:p>
    <w:p>
      <w:pPr>
        <w:spacing w:after="0" w:line="32"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Net change in cash and cash equivalents during period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left="-39"/>
        <w:spacing w:after="0"/>
        <w:rPr>
          <w:sz w:val="20"/>
          <w:szCs w:val="20"/>
          <w:color w:val="auto"/>
        </w:rPr>
      </w:pPr>
      <w:r>
        <w:rPr>
          <w:rFonts w:ascii="Arial" w:cs="Arial" w:eastAsia="Arial" w:hAnsi="Arial"/>
          <w:sz w:val="14"/>
          <w:szCs w:val="14"/>
          <w:color w:val="auto"/>
        </w:rPr>
        <w:t>3/31/2020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12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rPr>
              <w:t>Cash flow attributable to</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220"/>
              <w:spacing w:after="0" w:line="144" w:lineRule="exact"/>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color w:val="auto"/>
              </w:rPr>
              <w:t>T. Rowe Price investment</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rPr>
              <w:t>products, net of</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Group</w:t>
            </w:r>
          </w:p>
        </w:tc>
        <w:tc>
          <w:tcPr>
            <w:tcW w:w="12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7"/>
                <w:szCs w:val="17"/>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676"/>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864.0</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(15.0)</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27.6</w:t>
            </w:r>
          </w:p>
        </w:tc>
      </w:tr>
      <w:tr>
        <w:trPr>
          <w:trHeight w:val="702"/>
        </w:trPr>
        <w:tc>
          <w:tcPr>
            <w:tcW w:w="32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(1,068.4)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(992.3)</w:t>
            </w:r>
          </w:p>
        </w:tc>
      </w:tr>
      <w:tr>
        <w:trPr>
          <w:trHeight w:val="384"/>
        </w:trPr>
        <w:tc>
          <w:tcPr>
            <w:tcW w:w="3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45"/>
        </w:trPr>
        <w:tc>
          <w:tcPr>
            <w:tcW w:w="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(219.4)</w:t>
            </w:r>
          </w:p>
        </w:tc>
        <w:tc>
          <w:tcPr>
            <w:tcW w:w="120" w:type="dxa"/>
            <w:vAlign w:val="bottom"/>
          </w:tcPr>
          <w:p>
            <w:pPr>
              <w:spacing w:after="0"/>
              <w:rPr>
                <w:sz w:val="24"/>
                <w:szCs w:val="24"/>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3/31/2019</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rPr>
              <w:t>Cash flow attributable to</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220"/>
              <w:spacing w:after="0" w:line="144" w:lineRule="exact"/>
              <w:rPr>
                <w:sz w:val="20"/>
                <w:szCs w:val="20"/>
                <w:color w:val="auto"/>
              </w:rPr>
            </w:pPr>
            <w:r>
              <w:rPr>
                <w:rFonts w:ascii="Arial" w:cs="Arial" w:eastAsia="Arial" w:hAnsi="Arial"/>
                <w:sz w:val="14"/>
                <w:szCs w:val="14"/>
                <w:color w:val="auto"/>
              </w:rPr>
              <w:t>consolidated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color w:val="auto"/>
              </w:rPr>
              <w:t>T. Rowe Price investment</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As reported on</w:t>
            </w:r>
          </w:p>
        </w:tc>
        <w:tc>
          <w:tcPr>
            <w:tcW w:w="0" w:type="dxa"/>
            <w:vAlign w:val="bottom"/>
          </w:tcPr>
          <w:p>
            <w:pPr>
              <w:spacing w:after="0"/>
              <w:rPr>
                <w:sz w:val="1"/>
                <w:szCs w:val="1"/>
                <w:color w:val="auto"/>
              </w:rPr>
            </w:pPr>
          </w:p>
        </w:tc>
      </w:tr>
      <w:tr>
        <w:trPr>
          <w:trHeight w:val="162"/>
        </w:trPr>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rPr>
              <w:t>products, net of</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statement of</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Group</w:t>
            </w:r>
          </w:p>
        </w:tc>
        <w:tc>
          <w:tcPr>
            <w:tcW w:w="100" w:type="dxa"/>
            <w:vAlign w:val="bottom"/>
          </w:tcPr>
          <w:p>
            <w:pPr>
              <w:spacing w:after="0"/>
              <w:rPr>
                <w:sz w:val="17"/>
                <w:szCs w:val="17"/>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color w:val="auto"/>
              </w:rPr>
              <w:t>eliminations</w:t>
            </w:r>
          </w:p>
        </w:tc>
        <w:tc>
          <w:tcPr>
            <w:tcW w:w="140" w:type="dxa"/>
            <w:vAlign w:val="bottom"/>
          </w:tcPr>
          <w:p>
            <w:pPr>
              <w:spacing w:after="0"/>
              <w:rPr>
                <w:sz w:val="17"/>
                <w:szCs w:val="17"/>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color w:val="auto"/>
              </w:rPr>
              <w:t>cash flows</w:t>
            </w:r>
          </w:p>
        </w:tc>
        <w:tc>
          <w:tcPr>
            <w:tcW w:w="0" w:type="dxa"/>
            <w:vAlign w:val="bottom"/>
          </w:tcPr>
          <w:p>
            <w:pPr>
              <w:spacing w:after="0"/>
              <w:rPr>
                <w:sz w:val="1"/>
                <w:szCs w:val="1"/>
                <w:color w:val="auto"/>
              </w:rPr>
            </w:pPr>
          </w:p>
        </w:tc>
      </w:tr>
      <w:tr>
        <w:trPr>
          <w:trHeight w:val="676"/>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673.4</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578.7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(69.2)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(33.8)</w:t>
            </w:r>
          </w:p>
        </w:tc>
      </w:tr>
      <w:tr>
        <w:trPr>
          <w:trHeight w:val="702"/>
        </w:trPr>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(372.0)</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(306.0)</w:t>
            </w:r>
          </w:p>
        </w:tc>
      </w:tr>
      <w:tr>
        <w:trPr>
          <w:trHeight w:val="384"/>
        </w:trPr>
        <w:tc>
          <w:tcPr>
            <w:tcW w:w="3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45"/>
        </w:trPr>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232.2</w:t>
            </w: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238.2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ectPr>
          <w:pgSz w:w="11900" w:h="16838" w:orient="portrait"/>
          <w:cols w:equalWidth="0" w:num="3">
            <w:col w:w="2660" w:space="40"/>
            <w:col w:w="4200" w:space="240"/>
            <w:col w:w="4100"/>
          </w:cols>
          <w:pgMar w:left="320" w:top="720" w:right="339" w:bottom="1440" w:gutter="0" w:footer="0" w:header="0"/>
          <w:type w:val="continuous"/>
        </w:sect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i w:val="1"/>
          <w:iCs w:val="1"/>
          <w:color w:val="auto"/>
        </w:rPr>
        <w:t>Cash flows for stock repurchases reflect the impact of the timing of the settlement of these transactions at each period beginning and end.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64"/>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Unaudited Condensed Consolidated Balance Sheet Information (in millions)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3"/>
              </w:rPr>
              <w:t>As of</w:t>
            </w:r>
          </w:p>
        </w:tc>
        <w:tc>
          <w:tcPr>
            <w:tcW w:w="1120" w:type="dxa"/>
            <w:vAlign w:val="bottom"/>
            <w:tcBorders>
              <w:bottom w:val="single" w:sz="8" w:color="auto"/>
            </w:tcBorders>
            <w:shd w:val="clear" w:color="auto" w:fill="CCEEFF"/>
          </w:tcPr>
          <w:p>
            <w:pPr>
              <w:spacing w:after="0"/>
              <w:rPr>
                <w:sz w:val="22"/>
                <w:szCs w:val="22"/>
                <w:color w:val="auto"/>
              </w:rPr>
            </w:pPr>
          </w:p>
        </w:tc>
      </w:tr>
      <w:tr>
        <w:trPr>
          <w:trHeight w:val="264"/>
        </w:trPr>
        <w:tc>
          <w:tcPr>
            <w:tcW w:w="54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3/31/2020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12/31/2019</w:t>
            </w:r>
          </w:p>
        </w:tc>
      </w:tr>
      <w:tr>
        <w:trPr>
          <w:trHeight w:val="25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1,562.4</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1,781.8</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Accounts receivable and accrued revenue</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646.6</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2,939.8</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Assets of consolidated T. Rowe Price investment products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2,024.3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2,276.9</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assets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674.4</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665.7</w:t>
            </w:r>
          </w:p>
        </w:tc>
      </w:tr>
      <w:tr>
        <w:trPr>
          <w:trHeight w:val="264"/>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234.4</w:t>
            </w:r>
          </w:p>
        </w:tc>
      </w:tr>
      <w:tr>
        <w:trPr>
          <w:trHeight w:val="25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8,636.9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9,330.4</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Supplemental savings plan liability</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504.2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563.4</w:t>
            </w:r>
          </w:p>
        </w:tc>
      </w:tr>
      <w:tr>
        <w:trPr>
          <w:trHeight w:val="200"/>
        </w:trPr>
        <w:tc>
          <w:tcPr>
            <w:tcW w:w="844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rPr>
              <w:t>Total other liabilities, includes $82.9 at March 31, 2020, and $39.2 at December 31, 2019, from consolidated T. Rowe Price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4"/>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products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543.9</w:t>
            </w:r>
          </w:p>
        </w:tc>
      </w:tr>
      <w:tr>
        <w:trPr>
          <w:trHeight w:val="264"/>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1,121.0</w:t>
            </w:r>
          </w:p>
        </w:tc>
      </w:tr>
      <w:tr>
        <w:trPr>
          <w:trHeight w:val="242"/>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 228.0 common shares outstanding at March 31, 2020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6,434.0</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7,102.1</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Investments Information (in millions)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4"/>
        </w:trPr>
        <w:tc>
          <w:tcPr>
            <w:tcW w:w="5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Net assets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2"/>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consolidated 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Rowe Price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Cash and cash</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investment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8"/>
        </w:trPr>
        <w:tc>
          <w:tcPr>
            <w:tcW w:w="54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equivalents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Investments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products*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3/31/2020</w:t>
            </w: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discretionary investments</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1,727.2</w:t>
            </w:r>
          </w:p>
        </w:tc>
        <w:tc>
          <w:tcPr>
            <w:tcW w:w="8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3,403.8</w:t>
            </w:r>
          </w:p>
        </w:tc>
      </w:tr>
      <w:tr>
        <w:trPr>
          <w:trHeight w:val="264"/>
        </w:trPr>
        <w:tc>
          <w:tcPr>
            <w:tcW w:w="5400" w:type="dxa"/>
            <w:vAlign w:val="bottom"/>
          </w:tcPr>
          <w:p>
            <w:pPr>
              <w:ind w:left="40"/>
              <w:spacing w:after="0"/>
              <w:rPr>
                <w:sz w:val="20"/>
                <w:szCs w:val="20"/>
                <w:color w:val="auto"/>
              </w:rPr>
            </w:pPr>
            <w:r>
              <w:rPr>
                <w:rFonts w:ascii="Arial" w:cs="Arial" w:eastAsia="Arial" w:hAnsi="Arial"/>
                <w:sz w:val="14"/>
                <w:szCs w:val="14"/>
                <w:color w:val="auto"/>
              </w:rPr>
              <w:t>Seed capital investments</w:t>
            </w:r>
          </w:p>
        </w:tc>
        <w:tc>
          <w:tcPr>
            <w:tcW w:w="28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225.4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856.2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1,081.6</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used to hedge the supplemental savings plan liability</w:t>
            </w:r>
          </w:p>
        </w:tc>
        <w:tc>
          <w:tcPr>
            <w:tcW w:w="2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156"/>
        </w:trPr>
        <w:tc>
          <w:tcPr>
            <w:tcW w:w="54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Total cash and investments in T. Rowe Price products attributable to T. Rowe</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196"/>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Price Group</w:t>
            </w:r>
          </w:p>
        </w:tc>
        <w:tc>
          <w:tcPr>
            <w:tcW w:w="280" w:type="dxa"/>
            <w:vAlign w:val="bottom"/>
          </w:tcPr>
          <w:p>
            <w:pPr>
              <w:spacing w:after="0"/>
              <w:rPr>
                <w:sz w:val="17"/>
                <w:szCs w:val="17"/>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1,562.4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2,452.6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4,985.4</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UTI and other investments</w:t>
            </w:r>
          </w:p>
        </w:tc>
        <w:tc>
          <w:tcPr>
            <w:tcW w:w="2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278.7</w:t>
            </w:r>
          </w:p>
        </w:tc>
      </w:tr>
      <w:tr>
        <w:trPr>
          <w:trHeight w:val="258"/>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Total cash and investments attributable to T. Rowe Price Group</w:t>
            </w: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1,562.4</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2,731.3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970.4</w:t>
            </w: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5,264.1</w:t>
            </w: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2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971.0</w:t>
            </w:r>
          </w:p>
        </w:tc>
      </w:tr>
      <w:tr>
        <w:trPr>
          <w:trHeight w:val="156"/>
        </w:trPr>
        <w:tc>
          <w:tcPr>
            <w:tcW w:w="540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As reported on unaudited condensed consolidated balance sheet at March 31,</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189"/>
        </w:trPr>
        <w:tc>
          <w:tcPr>
            <w:tcW w:w="5400" w:type="dxa"/>
            <w:vAlign w:val="bottom"/>
          </w:tcPr>
          <w:p>
            <w:pPr>
              <w:ind w:left="4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1,562.4</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2,731.3</w:t>
            </w:r>
          </w:p>
        </w:tc>
        <w:tc>
          <w:tcPr>
            <w:tcW w:w="80" w:type="dxa"/>
            <w:vAlign w:val="bottom"/>
          </w:tcPr>
          <w:p>
            <w:pPr>
              <w:spacing w:after="0"/>
              <w:rPr>
                <w:sz w:val="16"/>
                <w:szCs w:val="16"/>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1,941.4</w:t>
            </w:r>
          </w:p>
        </w:tc>
        <w:tc>
          <w:tcPr>
            <w:tcW w:w="4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6,235.1</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80" w:right="2700" w:hanging="72"/>
        <w:spacing w:after="0" w:line="261" w:lineRule="auto"/>
        <w:tabs>
          <w:tab w:leader="none" w:pos="83" w:val="left"/>
        </w:tabs>
        <w:numPr>
          <w:ilvl w:val="0"/>
          <w:numId w:val="27"/>
        </w:numPr>
        <w:rPr>
          <w:rFonts w:ascii="Arial" w:cs="Arial" w:eastAsia="Arial" w:hAnsi="Arial"/>
          <w:sz w:val="13"/>
          <w:szCs w:val="13"/>
          <w:i w:val="1"/>
          <w:iCs w:val="1"/>
          <w:color w:val="auto"/>
        </w:rPr>
      </w:pPr>
      <w:r>
        <w:rPr>
          <w:rFonts w:ascii="Arial" w:cs="Arial" w:eastAsia="Arial" w:hAnsi="Arial"/>
          <w:sz w:val="13"/>
          <w:szCs w:val="13"/>
          <w:i w:val="1"/>
          <w:iCs w:val="1"/>
          <w:color w:val="auto"/>
        </w:rPr>
        <w:t>Net assets of consolidated T. Rowe Price investment products of $1,941.4 million at March 31, 2020, includes assets of $2,024.3 million less liabilities of $82.9 million as reflected in the unaudited condensed consolidated balance sheet information table above.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214" w:lineRule="exact"/>
        <w:rPr>
          <w:sz w:val="20"/>
          <w:szCs w:val="20"/>
          <w:color w:val="auto"/>
        </w:rPr>
      </w:pPr>
    </w:p>
    <w:p>
      <w:pPr>
        <w:jc w:val="both"/>
        <w:ind w:right="60"/>
        <w:spacing w:after="0" w:line="356" w:lineRule="auto"/>
        <w:rPr>
          <w:sz w:val="20"/>
          <w:szCs w:val="20"/>
          <w:color w:val="auto"/>
        </w:rPr>
      </w:pPr>
      <w:r>
        <w:rPr>
          <w:rFonts w:ascii="Arial" w:cs="Arial" w:eastAsia="Arial" w:hAnsi="Arial"/>
          <w:sz w:val="16"/>
          <w:szCs w:val="16"/>
          <w:color w:val="auto"/>
        </w:rPr>
        <w:t>The firm believes the non-GAAP financial measures below provide relevant and meaningful information to investors about its core operating results. These measures have been established in order to increase transparency for the purpose of evaluating the firm's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w:t>
      </w:r>
    </w:p>
    <w:p>
      <w:pPr>
        <w:spacing w:after="0" w:line="285" w:lineRule="exact"/>
        <w:rPr>
          <w:sz w:val="20"/>
          <w:szCs w:val="20"/>
          <w:color w:val="auto"/>
        </w:rPr>
      </w:pPr>
    </w:p>
    <w:p>
      <w:pPr>
        <w:ind w:right="260"/>
        <w:spacing w:after="0" w:line="418" w:lineRule="auto"/>
        <w:rPr>
          <w:sz w:val="20"/>
          <w:szCs w:val="20"/>
          <w:color w:val="auto"/>
        </w:rPr>
      </w:pPr>
      <w:r>
        <w:rPr>
          <w:rFonts w:ascii="Arial" w:cs="Arial" w:eastAsia="Arial" w:hAnsi="Arial"/>
          <w:sz w:val="16"/>
          <w:szCs w:val="16"/>
          <w:color w:val="auto"/>
        </w:rPr>
        <w:t>The following schedules reconcile U.S. GAAP financial measures to non-GAAP financial measures for the three months ended March 31, 2020 and 2019 and December 31, 2019.</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4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20" w:type="dxa"/>
            <w:vAlign w:val="bottom"/>
            <w:tcBorders>
              <w:bottom w:val="single" w:sz="8" w:color="auto"/>
            </w:tcBorders>
            <w:gridSpan w:val="5"/>
            <w:shd w:val="clear" w:color="auto" w:fill="CCEEFF"/>
          </w:tcPr>
          <w:p>
            <w:pPr>
              <w:jc w:val="center"/>
              <w:spacing w:after="0"/>
              <w:rPr>
                <w:sz w:val="20"/>
                <w:szCs w:val="20"/>
                <w:color w:val="auto"/>
              </w:rPr>
            </w:pPr>
            <w:r>
              <w:rPr>
                <w:rFonts w:ascii="Arial" w:cs="Arial" w:eastAsia="Arial" w:hAnsi="Arial"/>
                <w:sz w:val="14"/>
                <w:szCs w:val="14"/>
                <w:color w:val="auto"/>
              </w:rPr>
              <w:t>Three months ended 3/31/2020</w:t>
            </w: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193"/>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Provision (benefit)</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57"/>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Net operating</w:t>
            </w:r>
          </w:p>
        </w:tc>
        <w:tc>
          <w:tcPr>
            <w:tcW w:w="12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rPr>
              <w:t>Non-operating</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for income</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attributable to T.</w:t>
            </w:r>
          </w:p>
        </w:tc>
        <w:tc>
          <w:tcPr>
            <w:tcW w:w="122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Diluted earnings</w:t>
            </w:r>
          </w:p>
        </w:tc>
      </w:tr>
      <w:tr>
        <w:trPr>
          <w:trHeight w:val="189"/>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color w:val="auto"/>
                <w:w w:val="97"/>
              </w:rPr>
              <w:t>taxes</w:t>
            </w:r>
            <w:r>
              <w:rPr>
                <w:rFonts w:ascii="Arial" w:cs="Arial" w:eastAsia="Arial" w:hAnsi="Arial"/>
                <w:sz w:val="17"/>
                <w:szCs w:val="17"/>
                <w:color w:val="auto"/>
                <w:w w:val="97"/>
                <w:vertAlign w:val="superscript"/>
              </w:rPr>
              <w:t>(4)</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color w:val="auto"/>
              </w:rPr>
              <w:t>Rowe Price Group</w:t>
            </w:r>
          </w:p>
        </w:tc>
        <w:tc>
          <w:tcPr>
            <w:tcW w:w="160" w:type="dxa"/>
            <w:vAlign w:val="bottom"/>
          </w:tcPr>
          <w:p>
            <w:pPr>
              <w:spacing w:after="0"/>
              <w:rPr>
                <w:sz w:val="16"/>
                <w:szCs w:val="16"/>
                <w:color w:val="auto"/>
              </w:rPr>
            </w:pPr>
          </w:p>
        </w:tc>
        <w:tc>
          <w:tcPr>
            <w:tcW w:w="1060" w:type="dxa"/>
            <w:vAlign w:val="bottom"/>
          </w:tcPr>
          <w:p>
            <w:pPr>
              <w:jc w:val="center"/>
              <w:ind w:right="108"/>
              <w:spacing w:after="0" w:line="189" w:lineRule="exact"/>
              <w:rPr>
                <w:sz w:val="20"/>
                <w:szCs w:val="20"/>
                <w:color w:val="auto"/>
              </w:rPr>
            </w:pPr>
            <w:r>
              <w:rPr>
                <w:rFonts w:ascii="Arial" w:cs="Arial" w:eastAsia="Arial" w:hAnsi="Arial"/>
                <w:sz w:val="14"/>
                <w:szCs w:val="14"/>
                <w:color w:val="auto"/>
                <w:w w:val="98"/>
              </w:rPr>
              <w:t>per share</w:t>
            </w:r>
            <w:r>
              <w:rPr>
                <w:rFonts w:ascii="Arial" w:cs="Arial" w:eastAsia="Arial" w:hAnsi="Arial"/>
                <w:sz w:val="17"/>
                <w:szCs w:val="17"/>
                <w:color w:val="auto"/>
                <w:w w:val="98"/>
                <w:vertAlign w:val="superscript"/>
              </w:rPr>
              <w:t>(5)</w:t>
            </w: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755.4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707.2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(500.3)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r>
      <w:tr>
        <w:trPr>
          <w:trHeight w:val="264"/>
        </w:trPr>
        <w:tc>
          <w:tcPr>
            <w:tcW w:w="348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5"/>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T. Rowe Price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investment products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r>
      <w:tr>
        <w:trPr>
          <w:trHeight w:val="270"/>
        </w:trPr>
        <w:tc>
          <w:tcPr>
            <w:tcW w:w="3480" w:type="dxa"/>
            <w:vAlign w:val="bottom"/>
          </w:tcPr>
          <w:p>
            <w:pPr>
              <w:ind w:left="140"/>
              <w:spacing w:after="0"/>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7"/>
                <w:szCs w:val="17"/>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.01</w:t>
            </w:r>
          </w:p>
        </w:tc>
      </w:tr>
      <w:tr>
        <w:trPr>
          <w:trHeight w:val="270"/>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r>
      <w:tr>
        <w:trPr>
          <w:trHeight w:val="236"/>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817.9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647.2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454.3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32"/>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4"/>
        </w:trPr>
        <w:tc>
          <w:tcPr>
            <w:tcW w:w="34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20" w:type="dxa"/>
            <w:vAlign w:val="bottom"/>
            <w:tcBorders>
              <w:bottom w:val="single" w:sz="8" w:color="auto"/>
            </w:tcBorders>
            <w:gridSpan w:val="5"/>
            <w:shd w:val="clear" w:color="auto" w:fill="CCEEFF"/>
          </w:tcPr>
          <w:p>
            <w:pPr>
              <w:jc w:val="center"/>
              <w:spacing w:after="0"/>
              <w:rPr>
                <w:sz w:val="20"/>
                <w:szCs w:val="20"/>
                <w:color w:val="auto"/>
              </w:rPr>
            </w:pPr>
            <w:r>
              <w:rPr>
                <w:rFonts w:ascii="Arial" w:cs="Arial" w:eastAsia="Arial" w:hAnsi="Arial"/>
                <w:sz w:val="14"/>
                <w:szCs w:val="14"/>
                <w:color w:val="auto"/>
              </w:rPr>
              <w:t>Three months ended 3/31/2019</w:t>
            </w: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193"/>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Provision (benefit)</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57"/>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Net operating</w:t>
            </w:r>
          </w:p>
        </w:tc>
        <w:tc>
          <w:tcPr>
            <w:tcW w:w="12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rPr>
              <w:t>Non-operating</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for income</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attributable to T.</w:t>
            </w:r>
          </w:p>
        </w:tc>
        <w:tc>
          <w:tcPr>
            <w:tcW w:w="122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Diluted earnings</w:t>
            </w:r>
          </w:p>
        </w:tc>
      </w:tr>
      <w:tr>
        <w:trPr>
          <w:trHeight w:val="189"/>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color w:val="auto"/>
                <w:w w:val="97"/>
              </w:rPr>
              <w:t>taxes</w:t>
            </w:r>
            <w:r>
              <w:rPr>
                <w:rFonts w:ascii="Arial" w:cs="Arial" w:eastAsia="Arial" w:hAnsi="Arial"/>
                <w:sz w:val="17"/>
                <w:szCs w:val="17"/>
                <w:color w:val="auto"/>
                <w:w w:val="97"/>
                <w:vertAlign w:val="superscript"/>
              </w:rPr>
              <w:t>(4)</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color w:val="auto"/>
              </w:rPr>
              <w:t>Rowe Price Group</w:t>
            </w:r>
          </w:p>
        </w:tc>
        <w:tc>
          <w:tcPr>
            <w:tcW w:w="160" w:type="dxa"/>
            <w:vAlign w:val="bottom"/>
          </w:tcPr>
          <w:p>
            <w:pPr>
              <w:spacing w:after="0"/>
              <w:rPr>
                <w:sz w:val="16"/>
                <w:szCs w:val="16"/>
                <w:color w:val="auto"/>
              </w:rPr>
            </w:pPr>
          </w:p>
        </w:tc>
        <w:tc>
          <w:tcPr>
            <w:tcW w:w="1060" w:type="dxa"/>
            <w:vAlign w:val="bottom"/>
          </w:tcPr>
          <w:p>
            <w:pPr>
              <w:jc w:val="center"/>
              <w:ind w:right="108"/>
              <w:spacing w:after="0" w:line="189" w:lineRule="exact"/>
              <w:rPr>
                <w:sz w:val="20"/>
                <w:szCs w:val="20"/>
                <w:color w:val="auto"/>
              </w:rPr>
            </w:pPr>
            <w:r>
              <w:rPr>
                <w:rFonts w:ascii="Arial" w:cs="Arial" w:eastAsia="Arial" w:hAnsi="Arial"/>
                <w:sz w:val="14"/>
                <w:szCs w:val="14"/>
                <w:color w:val="auto"/>
                <w:w w:val="98"/>
              </w:rPr>
              <w:t>per share</w:t>
            </w:r>
            <w:r>
              <w:rPr>
                <w:rFonts w:ascii="Arial" w:cs="Arial" w:eastAsia="Arial" w:hAnsi="Arial"/>
                <w:sz w:val="17"/>
                <w:szCs w:val="17"/>
                <w:color w:val="auto"/>
                <w:w w:val="98"/>
                <w:vertAlign w:val="superscript"/>
              </w:rPr>
              <w:t>(5)</w:t>
            </w: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Basis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794.8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512.6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r>
      <w:tr>
        <w:trPr>
          <w:trHeight w:val="264"/>
        </w:trPr>
        <w:tc>
          <w:tcPr>
            <w:tcW w:w="348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195"/>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T. Rowe Price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investment products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r>
      <w:tr>
        <w:trPr>
          <w:trHeight w:val="270"/>
        </w:trPr>
        <w:tc>
          <w:tcPr>
            <w:tcW w:w="3480" w:type="dxa"/>
            <w:vAlign w:val="bottom"/>
          </w:tcPr>
          <w:p>
            <w:pPr>
              <w:ind w:left="140"/>
              <w:spacing w:after="0"/>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7"/>
                <w:szCs w:val="17"/>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.01</w:t>
            </w:r>
          </w:p>
        </w:tc>
      </w:tr>
      <w:tr>
        <w:trPr>
          <w:trHeight w:val="270"/>
        </w:trPr>
        <w:tc>
          <w:tcPr>
            <w:tcW w:w="3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non-operating income</w:t>
            </w:r>
            <w:r>
              <w:rPr>
                <w:rFonts w:ascii="Arial" w:cs="Arial" w:eastAsia="Arial" w:hAnsi="Arial"/>
                <w:sz w:val="17"/>
                <w:szCs w:val="17"/>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r>
      <w:tr>
        <w:trPr>
          <w:trHeight w:val="237"/>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Adjusted Non-GAAP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756.6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572.2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155.8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460.6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31"/>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4"/>
        </w:trPr>
        <w:tc>
          <w:tcPr>
            <w:tcW w:w="34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20" w:type="dxa"/>
            <w:vAlign w:val="bottom"/>
            <w:tcBorders>
              <w:bottom w:val="single" w:sz="8" w:color="auto"/>
            </w:tcBorders>
            <w:gridSpan w:val="5"/>
            <w:shd w:val="clear" w:color="auto" w:fill="CCEEFF"/>
          </w:tcPr>
          <w:p>
            <w:pPr>
              <w:jc w:val="center"/>
              <w:spacing w:after="0"/>
              <w:rPr>
                <w:sz w:val="20"/>
                <w:szCs w:val="20"/>
                <w:color w:val="auto"/>
              </w:rPr>
            </w:pPr>
            <w:r>
              <w:rPr>
                <w:rFonts w:ascii="Arial" w:cs="Arial" w:eastAsia="Arial" w:hAnsi="Arial"/>
                <w:sz w:val="14"/>
                <w:szCs w:val="14"/>
                <w:color w:val="auto"/>
              </w:rPr>
              <w:t>Three months ended 12/31/2019</w:t>
            </w: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193"/>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Provision (benefit)</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57"/>
        </w:trPr>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Operating</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Net operating</w:t>
            </w:r>
          </w:p>
        </w:tc>
        <w:tc>
          <w:tcPr>
            <w:tcW w:w="1220" w:type="dxa"/>
            <w:vAlign w:val="bottom"/>
            <w:gridSpan w:val="3"/>
          </w:tcPr>
          <w:p>
            <w:pPr>
              <w:jc w:val="center"/>
              <w:ind w:right="100"/>
              <w:spacing w:after="0" w:line="157" w:lineRule="exact"/>
              <w:rPr>
                <w:sz w:val="20"/>
                <w:szCs w:val="20"/>
                <w:color w:val="auto"/>
              </w:rPr>
            </w:pPr>
            <w:r>
              <w:rPr>
                <w:rFonts w:ascii="Arial" w:cs="Arial" w:eastAsia="Arial" w:hAnsi="Arial"/>
                <w:sz w:val="14"/>
                <w:szCs w:val="14"/>
                <w:color w:val="auto"/>
              </w:rPr>
              <w:t>Non-operating</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for income</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rPr>
              <w:t>attributable to T.</w:t>
            </w:r>
          </w:p>
        </w:tc>
        <w:tc>
          <w:tcPr>
            <w:tcW w:w="122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Diluted earnings</w:t>
            </w:r>
          </w:p>
        </w:tc>
      </w:tr>
      <w:tr>
        <w:trPr>
          <w:trHeight w:val="189"/>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4"/>
                <w:szCs w:val="14"/>
                <w:color w:val="auto"/>
                <w:w w:val="97"/>
              </w:rPr>
              <w:t>taxes</w:t>
            </w:r>
            <w:r>
              <w:rPr>
                <w:rFonts w:ascii="Arial" w:cs="Arial" w:eastAsia="Arial" w:hAnsi="Arial"/>
                <w:sz w:val="17"/>
                <w:szCs w:val="17"/>
                <w:color w:val="auto"/>
                <w:w w:val="97"/>
                <w:vertAlign w:val="superscript"/>
              </w:rPr>
              <w:t>(4)</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color w:val="auto"/>
              </w:rPr>
              <w:t>Rowe Price Group</w:t>
            </w:r>
          </w:p>
        </w:tc>
        <w:tc>
          <w:tcPr>
            <w:tcW w:w="160" w:type="dxa"/>
            <w:vAlign w:val="bottom"/>
          </w:tcPr>
          <w:p>
            <w:pPr>
              <w:spacing w:after="0"/>
              <w:rPr>
                <w:sz w:val="16"/>
                <w:szCs w:val="16"/>
                <w:color w:val="auto"/>
              </w:rPr>
            </w:pPr>
          </w:p>
        </w:tc>
        <w:tc>
          <w:tcPr>
            <w:tcW w:w="1060" w:type="dxa"/>
            <w:vAlign w:val="bottom"/>
          </w:tcPr>
          <w:p>
            <w:pPr>
              <w:jc w:val="center"/>
              <w:ind w:right="108"/>
              <w:spacing w:after="0" w:line="189" w:lineRule="exact"/>
              <w:rPr>
                <w:sz w:val="20"/>
                <w:szCs w:val="20"/>
                <w:color w:val="auto"/>
              </w:rPr>
            </w:pPr>
            <w:r>
              <w:rPr>
                <w:rFonts w:ascii="Arial" w:cs="Arial" w:eastAsia="Arial" w:hAnsi="Arial"/>
                <w:sz w:val="14"/>
                <w:szCs w:val="14"/>
                <w:color w:val="auto"/>
                <w:w w:val="98"/>
              </w:rPr>
              <w:t>per share</w:t>
            </w:r>
            <w:r>
              <w:rPr>
                <w:rFonts w:ascii="Arial" w:cs="Arial" w:eastAsia="Arial" w:hAnsi="Arial"/>
                <w:sz w:val="17"/>
                <w:szCs w:val="17"/>
                <w:color w:val="auto"/>
                <w:w w:val="98"/>
                <w:vertAlign w:val="superscript"/>
              </w:rPr>
              <w:t>(5)</w:t>
            </w:r>
          </w:p>
        </w:tc>
      </w:tr>
      <w:tr>
        <w:trPr>
          <w:trHeight w:val="25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888.4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580.3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r>
      <w:tr>
        <w:trPr>
          <w:trHeight w:val="260"/>
        </w:trPr>
        <w:tc>
          <w:tcPr>
            <w:tcW w:w="348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3"/>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Consolidated T. Rowe Price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34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investment products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r>
      <w:tr>
        <w:trPr>
          <w:trHeight w:val="270"/>
        </w:trPr>
        <w:tc>
          <w:tcPr>
            <w:tcW w:w="3480" w:type="dxa"/>
            <w:vAlign w:val="bottom"/>
          </w:tcPr>
          <w:p>
            <w:pPr>
              <w:ind w:left="160"/>
              <w:spacing w:after="0"/>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(.01)</w:t>
            </w:r>
          </w:p>
        </w:tc>
      </w:tr>
      <w:tr>
        <w:trPr>
          <w:trHeight w:val="270"/>
        </w:trPr>
        <w:tc>
          <w:tcPr>
            <w:tcW w:w="3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r>
      <w:tr>
        <w:trPr>
          <w:trHeight w:val="233"/>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863.5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605.7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495.2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54" w:name="page55"/>
    <w:bookmarkEnd w:id="54"/>
    <w:p>
      <w:pPr>
        <w:ind w:left="332" w:right="200" w:hanging="332"/>
        <w:spacing w:after="0" w:line="266"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These non-GAAP adjustments remove the impact the consolidated T. Rowe Price investment products have on the firm's U.S. GAAP consolidated statements of income. Specifically, the firm adds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Group represents the net income of the consolidated products, net of redeemable non-controlling interests. Management believes the consolidated T. Rowe Price investment products may impact the reader’s ability to understand the firm's core operating results.</w:t>
      </w:r>
    </w:p>
    <w:p>
      <w:pPr>
        <w:spacing w:after="0" w:line="193" w:lineRule="exact"/>
        <w:rPr>
          <w:rFonts w:ascii="Arial" w:cs="Arial" w:eastAsia="Arial" w:hAnsi="Arial"/>
          <w:sz w:val="14"/>
          <w:szCs w:val="14"/>
          <w:color w:val="auto"/>
        </w:rPr>
      </w:pPr>
    </w:p>
    <w:p>
      <w:pPr>
        <w:ind w:left="332" w:hanging="332"/>
        <w:spacing w:after="0" w:line="266"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The firm uses T. Rowe Price investment products to economically hedge the exposure to these market movements. Management believes it is useful to offset the non-operating investment income (loss) realized on the hedges against the related compensation expense and remove the net impact to help the reader's ability to understand the firm's core operating results and to increase comparability period to period.</w:t>
      </w:r>
    </w:p>
    <w:p>
      <w:pPr>
        <w:spacing w:after="0" w:line="193" w:lineRule="exact"/>
        <w:rPr>
          <w:rFonts w:ascii="Arial" w:cs="Arial" w:eastAsia="Arial" w:hAnsi="Arial"/>
          <w:sz w:val="14"/>
          <w:szCs w:val="14"/>
          <w:color w:val="auto"/>
        </w:rPr>
      </w:pPr>
    </w:p>
    <w:p>
      <w:pPr>
        <w:ind w:left="332" w:right="40" w:hanging="332"/>
        <w:spacing w:after="0" w:line="266"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This non-GAAP adjustment represents the other non-operating income (loss) and the net gains (losses) earned on the firm's non-consolidated investment portfolio that are not designated as economic hedges of the supplemental savings plan liability, and those non-consolidated investments that are not part of the cash and discretionary investment portfolio. Management retains the investment gains recognized on the non-consolidated cash and discretionary investments as these assets and related income (loss) are considered part of the firm's core operations. Management believes adjusting for these non-operating income (loss) items helps the reader’s ability to understand the firm's core operating results and increases comparability to prior years. Additionally, management does not emphasize the impact of the portion of non-operating income (loss) removed when managing and evaluating the firm's performance.</w:t>
      </w:r>
    </w:p>
    <w:p>
      <w:pPr>
        <w:spacing w:after="0" w:line="192" w:lineRule="exact"/>
        <w:rPr>
          <w:rFonts w:ascii="Arial" w:cs="Arial" w:eastAsia="Arial" w:hAnsi="Arial"/>
          <w:sz w:val="14"/>
          <w:szCs w:val="14"/>
          <w:color w:val="auto"/>
        </w:rPr>
      </w:pPr>
    </w:p>
    <w:p>
      <w:pPr>
        <w:jc w:val="both"/>
        <w:ind w:left="332" w:right="120" w:hanging="332"/>
        <w:spacing w:after="0" w:line="278"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The income tax impacts were calculated in order to achieve an overall year-to-date non-GAAP effective tax rate of 22.5% for 2020, 25.3% for Q1 2019, and 21.8% for Q4 2019. The firm estimates that its effective tax rate for the full-year 2020 on a non-GAAP basis will be in the range of 23.5% to 25.5%.</w:t>
      </w:r>
    </w:p>
    <w:p>
      <w:pPr>
        <w:spacing w:after="0" w:line="181" w:lineRule="exact"/>
        <w:rPr>
          <w:rFonts w:ascii="Arial" w:cs="Arial" w:eastAsia="Arial" w:hAnsi="Arial"/>
          <w:sz w:val="14"/>
          <w:szCs w:val="14"/>
          <w:color w:val="auto"/>
        </w:rPr>
      </w:pPr>
    </w:p>
    <w:p>
      <w:pPr>
        <w:ind w:left="332" w:right="280" w:hanging="332"/>
        <w:spacing w:after="0" w:line="27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6"/>
          <w:szCs w:val="16"/>
          <w:color w:val="auto"/>
        </w:rPr>
        <w:t>This non-GAAP measure was calculated by applying the two-class method to adjusted net income attributable to T. Rowe Price Group divided by the weighted-average common shares outstanding assuming dilution. The calculation of adjusted net income allocated to common stockholders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194310</wp:posOffset>
            </wp:positionV>
            <wp:extent cx="656653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566535" cy="171450"/>
                    </a:xfrm>
                    <a:prstGeom prst="rect">
                      <a:avLst/>
                    </a:prstGeom>
                    <a:noFill/>
                  </pic:spPr>
                </pic:pic>
              </a:graphicData>
            </a:graphic>
          </wp:anchor>
        </w:drawing>
      </w:r>
    </w:p>
    <w:p>
      <w:pPr>
        <w:spacing w:after="0" w:line="342" w:lineRule="exact"/>
        <w:rPr>
          <w:sz w:val="20"/>
          <w:szCs w:val="20"/>
          <w:color w:val="auto"/>
        </w:rPr>
      </w:pPr>
    </w:p>
    <w:p>
      <w:pPr>
        <w:ind w:left="8392"/>
        <w:spacing w:after="0"/>
        <w:rPr>
          <w:sz w:val="20"/>
          <w:szCs w:val="20"/>
          <w:color w:val="auto"/>
        </w:rPr>
      </w:pPr>
      <w:r>
        <w:rPr>
          <w:rFonts w:ascii="Arial" w:cs="Arial" w:eastAsia="Arial" w:hAnsi="Arial"/>
          <w:sz w:val="16"/>
          <w:szCs w:val="16"/>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4612005</wp:posOffset>
            </wp:positionH>
            <wp:positionV relativeFrom="paragraph">
              <wp:posOffset>19050</wp:posOffset>
            </wp:positionV>
            <wp:extent cx="23660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66" w:lineRule="exact"/>
        <w:rPr>
          <w:sz w:val="20"/>
          <w:szCs w:val="20"/>
          <w:color w:val="auto"/>
        </w:rPr>
      </w:pPr>
    </w:p>
    <w:tbl>
      <w:tblPr>
        <w:tblLayout w:type="fixed"/>
        <w:tblInd w:w="652" w:type="dxa"/>
        <w:tblCellMar>
          <w:top w:w="0" w:type="dxa"/>
          <w:left w:w="0" w:type="dxa"/>
          <w:bottom w:w="0" w:type="dxa"/>
          <w:right w:w="0" w:type="dxa"/>
        </w:tblCellMar>
      </w:tblPr>
      <w:tr>
        <w:trPr>
          <w:trHeight w:val="208"/>
        </w:trPr>
        <w:tc>
          <w:tcPr>
            <w:tcW w:w="6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3/31/2020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3/31/2019</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12/31/2019</w:t>
            </w:r>
          </w:p>
        </w:tc>
      </w:tr>
      <w:tr>
        <w:trPr>
          <w:trHeight w:val="25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495.2</w:t>
            </w:r>
          </w:p>
        </w:tc>
      </w:tr>
      <w:tr>
        <w:trPr>
          <w:trHeight w:val="264"/>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w:t>
            </w:r>
          </w:p>
        </w:tc>
      </w:tr>
      <w:tr>
        <w:trPr>
          <w:trHeight w:val="24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481.9</w:t>
            </w:r>
          </w:p>
        </w:tc>
      </w:tr>
      <w:tr>
        <w:trPr>
          <w:trHeight w:val="20"/>
        </w:trPr>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sectPr>
      <w:pgSz w:w="11900" w:h="16838" w:orient="portrait"/>
      <w:cols w:equalWidth="0" w:num="1">
        <w:col w:w="11232"/>
      </w:cols>
      <w:pgMar w:left="328" w:top="10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lvl w:ilvl="1">
      <w:lvlJc w:val="left"/>
      <w:lvlText w:val="%2"/>
      <w:numFmt w:val="upperLetter"/>
      <w:start w:val="1"/>
    </w:lvl>
  </w:abstractNum>
  <w:abstractNum w:abstractNumId="10">
    <w:nsid w:val="257130A3"/>
    <w:multiLevelType w:val="hybridMultilevel"/>
    <w:lvl w:ilvl="0">
      <w:lvlJc w:val="left"/>
      <w:lvlText w:val="(%1)"/>
      <w:numFmt w:val="decimal"/>
      <w:start w:val="4"/>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lvl w:ilvl="1">
      <w:lvlJc w:val="left"/>
      <w:lvlText w:val="(%2)"/>
      <w:numFmt w:val="lowerLetter"/>
      <w:start w:val="1"/>
    </w:lvl>
  </w:abstractNum>
  <w:abstractNum w:abstractNumId="13">
    <w:nsid w:val="628C895D"/>
    <w:multiLevelType w:val="hybridMultilevel"/>
    <w:lvl w:ilvl="0">
      <w:lvlJc w:val="left"/>
      <w:lvlText w:val="%1."/>
      <w:numFmt w:val="decimal"/>
      <w:start w:val="1"/>
    </w:lvl>
    <w:lvl w:ilvl="1">
      <w:lvlJc w:val="left"/>
      <w:lvlText w:val="(%2)"/>
      <w:numFmt w:val="lowerLetter"/>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67" Type="http://schemas.openxmlformats.org/officeDocument/2006/relationships/hyperlink" Target="http://www.sec.gov/Archives/edgar/data/1113169/000111316918000018/articlesofrestatementfin.htm" TargetMode="External"/><Relationship Id="rId68" Type="http://schemas.openxmlformats.org/officeDocument/2006/relationships/hyperlink" Target="http://www.sec.gov/Archives/edgar/data/1113169/000111316919000007/trpgamendedandrestated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2020-04-28T15:52:40Z</dcterms:created>
  <dcterms:modified xsi:type="dcterms:W3CDTF">2020-04-28T15:52:40Z</dcterms:modified>
</cp:coreProperties>
</file>