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82"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182"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18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$0.20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5"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40"/>
        <w:spacing w:after="0" w:line="21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($0.20 par value), as of the latest practicable date, July 23, 2024, is 222,597,816.</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12/31/2023</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Assets of consolidated sponsored investment products ($1,211.9 million at June 30, 2024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1,929.6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1,959.3</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$1,204.4 million at December 31, 2023,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12,278.8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sponsored investment products ($28.7 million at June 30, 2024 and $35.2</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million at December 31, 2023,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88"/>
        </w:trPr>
        <w:tc>
          <w:tcPr>
            <w:tcW w:w="8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$0.20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Common stock, $0.20 par value—authorized 750,000,000; issued 222,612,000 shares at June 30,</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2024 and 223,938,000 at December 31, 2023</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9,076.1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9,928.7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right="5180"/>
        <w:spacing w:after="0" w:line="296"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6/30/2024</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6/30/2024</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1,585.6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3,139.6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2,130.1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gains (losses) on consolidated sponsored investment products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gains (losses), including foreign currency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3560"/>
        <w:spacing w:after="0" w:line="296"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4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6/30/2024</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6/30/2024</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6/30/2023</w:t>
            </w:r>
          </w:p>
        </w:tc>
      </w:tr>
      <w:tr>
        <w:trPr>
          <w:trHeight w:val="25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27"/>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5400" w:type="dxa"/>
            <w:vAlign w:val="bottom"/>
          </w:tcPr>
          <w:p>
            <w:pPr>
              <w:ind w:left="220"/>
              <w:spacing w:after="0"/>
              <w:rPr>
                <w:sz w:val="20"/>
                <w:szCs w:val="20"/>
                <w:color w:val="auto"/>
              </w:rPr>
            </w:pPr>
            <w:r>
              <w:rPr>
                <w:rFonts w:ascii="Arial" w:cs="Arial" w:eastAsia="Arial" w:hAnsi="Arial"/>
                <w:sz w:val="18"/>
                <w:szCs w:val="18"/>
                <w:color w:val="auto"/>
              </w:rPr>
              <w:t>Consolidated T. Rowe Price investment products - variable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2"/>
        </w:trPr>
        <w:tc>
          <w:tcPr>
            <w:tcW w:w="5400" w:type="dxa"/>
            <w:vAlign w:val="bottom"/>
          </w:tcPr>
          <w:p>
            <w:pPr>
              <w:ind w:left="22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(expense) benefits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50"/>
        </w:trPr>
        <w:tc>
          <w:tcPr>
            <w:tcW w:w="5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1,075.8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939.7</w:t>
            </w:r>
          </w:p>
        </w:tc>
      </w:tr>
      <w:tr>
        <w:trPr>
          <w:trHeight w:val="224"/>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comprehensive income (loss) attributable to redeemable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2"/>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comprehensive income attributable to T. Rowe Price Group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r>
      <w:tr>
        <w:trPr>
          <w:trHeight w:val="21"/>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ind w:right="4700"/>
        <w:spacing w:after="0" w:line="296"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Net redemptions in sponsored investment products used to economically hedge supplemental</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sponsored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contributions (distributions)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$77.2 million at December 31, 2023,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$119.1 million at December 31, 2022, held by consolidated sponsored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$73.9 million at June 30, 2024, and $76.5 million</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2,788.8</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2,326.2</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color w:val="auto"/>
              </w:rPr>
              <w:t>at June 30, 2023, held by consolidated sponsored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3560"/>
        <w:spacing w:after="0" w:line="296"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gridSpan w:val="15"/>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Three months ended 6/30/2024</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stockholders’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left="3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80" w:type="dxa"/>
            <w:vAlign w:val="bottom"/>
          </w:tcPr>
          <w:p>
            <w:pPr>
              <w:spacing w:after="0"/>
              <w:rPr>
                <w:sz w:val="11"/>
                <w:szCs w:val="11"/>
                <w:color w:val="auto"/>
              </w:rPr>
            </w:pPr>
          </w:p>
        </w:tc>
        <w:tc>
          <w:tcPr>
            <w:tcW w:w="90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Common</w:t>
            </w: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9"/>
              </w:rPr>
              <w:t>capital in</w:t>
            </w:r>
          </w:p>
        </w:tc>
        <w:tc>
          <w:tcPr>
            <w:tcW w:w="100" w:type="dxa"/>
            <w:vAlign w:val="bottom"/>
          </w:tcPr>
          <w:p>
            <w:pPr>
              <w:spacing w:after="0"/>
              <w:rPr>
                <w:sz w:val="10"/>
                <w:szCs w:val="10"/>
                <w:color w:val="auto"/>
              </w:rPr>
            </w:pPr>
          </w:p>
        </w:tc>
        <w:tc>
          <w:tcPr>
            <w:tcW w:w="64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to T. Rowe</w:t>
            </w:r>
          </w:p>
        </w:tc>
        <w:tc>
          <w:tcPr>
            <w:tcW w:w="80" w:type="dxa"/>
            <w:vAlign w:val="bottom"/>
          </w:tcPr>
          <w:p>
            <w:pPr>
              <w:spacing w:after="0"/>
              <w:rPr>
                <w:sz w:val="10"/>
                <w:szCs w:val="10"/>
                <w:color w:val="auto"/>
              </w:rPr>
            </w:pPr>
          </w:p>
        </w:tc>
        <w:tc>
          <w:tcPr>
            <w:tcW w:w="90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80" w:type="dxa"/>
            <w:vAlign w:val="bottom"/>
          </w:tcPr>
          <w:p>
            <w:pPr>
              <w:spacing w:after="0"/>
              <w:rPr>
                <w:sz w:val="10"/>
                <w:szCs w:val="10"/>
                <w:color w:val="auto"/>
              </w:rPr>
            </w:pPr>
          </w:p>
        </w:tc>
        <w:tc>
          <w:tcPr>
            <w:tcW w:w="720" w:type="dxa"/>
            <w:vAlign w:val="bottom"/>
            <w:gridSpan w:val="6"/>
            <w:vMerge w:val="continue"/>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excess of</w:t>
            </w:r>
          </w:p>
        </w:tc>
        <w:tc>
          <w:tcPr>
            <w:tcW w:w="10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4"/>
            <w:vMerge w:val="restart"/>
          </w:tcPr>
          <w:p>
            <w:pPr>
              <w:jc w:val="right"/>
              <w:ind w:right="37"/>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80" w:type="dxa"/>
            <w:vAlign w:val="bottom"/>
          </w:tcPr>
          <w:p>
            <w:pPr>
              <w:spacing w:after="0"/>
              <w:rPr>
                <w:sz w:val="10"/>
                <w:szCs w:val="10"/>
                <w:color w:val="auto"/>
              </w:rPr>
            </w:pPr>
          </w:p>
        </w:tc>
        <w:tc>
          <w:tcPr>
            <w:tcW w:w="90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860" w:type="dxa"/>
            <w:vAlign w:val="bottom"/>
            <w:gridSpan w:val="5"/>
          </w:tcPr>
          <w:p>
            <w:pPr>
              <w:ind w:left="2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7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b w:val="1"/>
                <w:bCs w:val="1"/>
                <w:color w:val="auto"/>
                <w:w w:val="89"/>
              </w:rPr>
              <w:t>Inc.</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equity</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223,494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$ 9,364.8</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9,784.1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9,989.5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676.7</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740" w:type="dxa"/>
            <w:vAlign w:val="bottom"/>
            <w:gridSpan w:val="5"/>
          </w:tcPr>
          <w:p>
            <w:pPr>
              <w:jc w:val="right"/>
              <w:ind w:right="60"/>
              <w:spacing w:after="0"/>
              <w:rPr>
                <w:sz w:val="20"/>
                <w:szCs w:val="20"/>
                <w:color w:val="auto"/>
              </w:rPr>
            </w:pPr>
            <w:r>
              <w:rPr>
                <w:rFonts w:ascii="Arial" w:cs="Arial" w:eastAsia="Arial" w:hAnsi="Arial"/>
                <w:sz w:val="14"/>
                <w:szCs w:val="14"/>
                <w:color w:val="auto"/>
              </w:rPr>
              <w:t>483.4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483.4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481.0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Dividends declared (1.24 per share)</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rPr>
              <w:t>(283.5)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(283.5)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(283.5)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9"/>
              </w:rPr>
              <w:t>49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9"/>
              </w:rPr>
              <w:t>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Common shares repurchased</w:t>
            </w: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(967)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(112.3)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(112.3)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6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Net contributions to non-controlling interests in</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4"/>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2"/>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6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Net deconsolidations of T. Rowe Price investment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Balances at June 30, 2024</w:t>
            </w: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222,612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368.8</w:t>
            </w:r>
          </w:p>
        </w:tc>
        <w:tc>
          <w:tcPr>
            <w:tcW w:w="740" w:type="dxa"/>
            <w:vAlign w:val="bottom"/>
            <w:gridSpan w:val="5"/>
          </w:tcPr>
          <w:p>
            <w:pPr>
              <w:jc w:val="right"/>
              <w:ind w:right="60"/>
              <w:spacing w:after="0"/>
              <w:rPr>
                <w:sz w:val="20"/>
                <w:szCs w:val="20"/>
                <w:color w:val="auto"/>
              </w:rPr>
            </w:pPr>
            <w:r>
              <w:rPr>
                <w:rFonts w:ascii="Arial" w:cs="Arial" w:eastAsia="Arial" w:hAnsi="Arial"/>
                <w:sz w:val="14"/>
                <w:szCs w:val="14"/>
                <w:color w:val="auto"/>
              </w:rPr>
              <w:t>$ 9,564.6</w:t>
            </w:r>
          </w:p>
        </w:tc>
        <w:tc>
          <w:tcPr>
            <w:tcW w:w="200" w:type="dxa"/>
            <w:vAlign w:val="bottom"/>
            <w:gridSpan w:val="3"/>
          </w:tcPr>
          <w:p>
            <w:pPr>
              <w:ind w:left="120"/>
              <w:spacing w:after="0"/>
              <w:rPr>
                <w:sz w:val="20"/>
                <w:szCs w:val="20"/>
                <w:color w:val="auto"/>
              </w:rPr>
            </w:pPr>
            <w:r>
              <w:rPr>
                <w:rFonts w:ascii="Arial" w:cs="Arial" w:eastAsia="Arial" w:hAnsi="Arial"/>
                <w:sz w:val="14"/>
                <w:szCs w:val="14"/>
                <w:color w:val="auto"/>
                <w:w w:val="76"/>
              </w:rPr>
              <w:t>$</w:t>
            </w: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(49.2)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9,928.7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205.3</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10,134.0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gridSpan w:val="14"/>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 6/30/2023</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50"/>
              <w:spacing w:after="0" w:line="126"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6"/>
              </w:rPr>
              <w:t>stockholders’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center"/>
              <w:ind w:right="129"/>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1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center"/>
              <w:ind w:right="3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capital in</w:t>
            </w:r>
          </w:p>
        </w:tc>
        <w:tc>
          <w:tcPr>
            <w:tcW w:w="8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50"/>
              <w:spacing w:after="0" w:line="135" w:lineRule="exact"/>
              <w:rPr>
                <w:sz w:val="20"/>
                <w:szCs w:val="20"/>
                <w:color w:val="auto"/>
              </w:rPr>
            </w:pPr>
            <w:r>
              <w:rPr>
                <w:rFonts w:ascii="Arial" w:cs="Arial" w:eastAsia="Arial" w:hAnsi="Arial"/>
                <w:sz w:val="13"/>
                <w:szCs w:val="13"/>
                <w:b w:val="1"/>
                <w:bCs w:val="1"/>
                <w:color w:val="auto"/>
                <w:w w:val="94"/>
              </w:rPr>
              <w:t>to T. Rowe</w:t>
            </w:r>
          </w:p>
        </w:tc>
        <w:tc>
          <w:tcPr>
            <w:tcW w:w="100" w:type="dxa"/>
            <w:vAlign w:val="bottom"/>
          </w:tcPr>
          <w:p>
            <w:pPr>
              <w:spacing w:after="0"/>
              <w:rPr>
                <w:sz w:val="11"/>
                <w:szCs w:val="11"/>
                <w:color w:val="auto"/>
              </w:rPr>
            </w:pPr>
          </w:p>
        </w:tc>
        <w:tc>
          <w:tcPr>
            <w:tcW w:w="80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7"/>
              </w:rPr>
              <w:t>interests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30"/>
              <w:spacing w:after="0" w:line="122"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vMerge w:val="restart"/>
          </w:tcPr>
          <w:p>
            <w:pPr>
              <w:jc w:val="right"/>
              <w:ind w:right="9"/>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4"/>
          </w:tcPr>
          <w:p>
            <w:pPr>
              <w:jc w:val="center"/>
              <w:ind w:left="49"/>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6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3"/>
                <w:szCs w:val="13"/>
                <w:b w:val="1"/>
                <w:bCs w:val="1"/>
                <w:color w:val="auto"/>
                <w:w w:val="99"/>
              </w:rPr>
              <w:t>stock</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7"/>
              </w:rPr>
              <w:t>Inc.</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6"/>
              </w:rPr>
              <w:t>entities</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109"/>
              <w:spacing w:after="0"/>
              <w:rPr>
                <w:sz w:val="20"/>
                <w:szCs w:val="20"/>
                <w:color w:val="auto"/>
              </w:rPr>
            </w:pPr>
            <w:r>
              <w:rPr>
                <w:rFonts w:ascii="Arial" w:cs="Arial" w:eastAsia="Arial" w:hAnsi="Arial"/>
                <w:sz w:val="13"/>
                <w:szCs w:val="13"/>
                <w:b w:val="1"/>
                <w:bCs w:val="1"/>
                <w:color w:val="auto"/>
                <w:w w:val="99"/>
              </w:rPr>
              <w:t>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March 31, 2023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224,527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44.9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$ 8,550.4</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w w:val="98"/>
              </w:rPr>
              <w:t>(51.7)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9,045.4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9,239.8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476.4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Dividends declared ($1.22 per share)</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(280.5)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4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Restricted shares issued, net of shares withheld for</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taxes</w:t>
            </w:r>
          </w:p>
        </w:tc>
        <w:tc>
          <w:tcPr>
            <w:tcW w:w="6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5"/>
              </w:rPr>
              <w:t>56.8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Common shares repurchased</w:t>
            </w:r>
          </w:p>
        </w:tc>
        <w:tc>
          <w:tcPr>
            <w:tcW w:w="640" w:type="dxa"/>
            <w:vAlign w:val="bottom"/>
            <w:gridSpan w:val="2"/>
          </w:tcPr>
          <w:p>
            <w:pPr>
              <w:jc w:val="center"/>
              <w:ind w:left="210"/>
              <w:spacing w:after="0"/>
              <w:rPr>
                <w:sz w:val="20"/>
                <w:szCs w:val="20"/>
                <w:color w:val="auto"/>
              </w:rPr>
            </w:pPr>
            <w:r>
              <w:rPr>
                <w:rFonts w:ascii="Arial" w:cs="Arial" w:eastAsia="Arial" w:hAnsi="Arial"/>
                <w:sz w:val="14"/>
                <w:szCs w:val="14"/>
                <w:color w:val="auto"/>
                <w:w w:val="97"/>
              </w:rPr>
              <w:t>(395)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Net distributions to non-controlling interests in</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4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Net subscriptions into T. Rowe Price investment</w:t>
            </w: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134.9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products</w:t>
            </w: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4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Net consolidations of T. Rowe Price investment</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Balances at June 30, 2023</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224,281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44.8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520.6</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$ 8,746.2</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tcPr>
          <w:p>
            <w:pPr>
              <w:ind w:left="120"/>
              <w:spacing w:after="0"/>
              <w:rPr>
                <w:sz w:val="20"/>
                <w:szCs w:val="20"/>
                <w:color w:val="auto"/>
              </w:rPr>
            </w:pPr>
            <w:r>
              <w:rPr>
                <w:rFonts w:ascii="Arial" w:cs="Arial" w:eastAsia="Arial" w:hAnsi="Arial"/>
                <w:sz w:val="14"/>
                <w:szCs w:val="14"/>
                <w:color w:val="auto"/>
                <w:w w:val="98"/>
              </w:rPr>
              <w:t>(47.8)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9,263.8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202.1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9,465.9</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6" w:name="page7"/>
    <w:bookmarkEnd w:id="6"/>
    <w:p>
      <w:pPr>
        <w:ind w:right="3480"/>
        <w:spacing w:after="0" w:line="279"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400" w:type="dxa"/>
            <w:vAlign w:val="bottom"/>
            <w:tcBorders>
              <w:bottom w:val="single" w:sz="8" w:color="auto"/>
            </w:tcBorders>
            <w:gridSpan w:val="8"/>
            <w:shd w:val="clear" w:color="auto" w:fill="CCEEFF"/>
          </w:tcPr>
          <w:p>
            <w:pPr>
              <w:ind w:left="520"/>
              <w:spacing w:after="0"/>
              <w:rPr>
                <w:sz w:val="20"/>
                <w:szCs w:val="20"/>
                <w:color w:val="auto"/>
              </w:rPr>
            </w:pPr>
            <w:r>
              <w:rPr>
                <w:rFonts w:ascii="Arial" w:cs="Arial" w:eastAsia="Arial" w:hAnsi="Arial"/>
                <w:sz w:val="13"/>
                <w:szCs w:val="13"/>
                <w:b w:val="1"/>
                <w:bCs w:val="1"/>
                <w:color w:val="auto"/>
              </w:rPr>
              <w:t>Six months ended 6/30/2024</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ind w:left="20"/>
              <w:spacing w:after="0" w:line="131" w:lineRule="exact"/>
              <w:rPr>
                <w:sz w:val="20"/>
                <w:szCs w:val="20"/>
                <w:color w:val="auto"/>
              </w:rPr>
            </w:pPr>
            <w:r>
              <w:rPr>
                <w:rFonts w:ascii="Arial" w:cs="Arial" w:eastAsia="Arial" w:hAnsi="Arial"/>
                <w:sz w:val="13"/>
                <w:szCs w:val="13"/>
                <w:b w:val="1"/>
                <w:bCs w:val="1"/>
                <w:color w:val="auto"/>
              </w:rPr>
              <w:t>stockholders’</w:t>
            </w:r>
          </w:p>
        </w:tc>
        <w:tc>
          <w:tcPr>
            <w:tcW w:w="14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9"/>
              </w:rPr>
              <w:t>equity</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4"/>
              </w:rPr>
              <w:t>to T. Rowe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740" w:type="dxa"/>
            <w:vAlign w:val="bottom"/>
            <w:gridSpan w:val="3"/>
            <w:vMerge w:val="continue"/>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Price Group,</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stock</w:t>
            </w: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Inc.</w:t>
            </w:r>
          </w:p>
        </w:tc>
        <w:tc>
          <w:tcPr>
            <w:tcW w:w="14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entities</w:t>
            </w: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660" w:type="dxa"/>
            <w:vAlign w:val="bottom"/>
          </w:tcPr>
          <w:p>
            <w:pPr>
              <w:jc w:val="center"/>
              <w:ind w:right="2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223,938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431.7</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$ 9,076.1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9,505.1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9,697.1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1,057.2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Dividends declared ($2.48 per share)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112.7</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760" w:type="dxa"/>
            <w:vAlign w:val="bottom"/>
          </w:tcPr>
          <w:p>
            <w:pPr>
              <w:jc w:val="right"/>
              <w:spacing w:after="0"/>
              <w:rPr>
                <w:sz w:val="20"/>
                <w:szCs w:val="20"/>
                <w:color w:val="auto"/>
              </w:rPr>
            </w:pPr>
            <w:r>
              <w:rPr>
                <w:rFonts w:ascii="Arial" w:cs="Arial" w:eastAsia="Arial" w:hAnsi="Arial"/>
                <w:sz w:val="14"/>
                <w:szCs w:val="14"/>
                <w:color w:val="auto"/>
              </w:rPr>
              <w:t>(1,684)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(192.0)</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contributions to non-controlling interests in</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deconsolidations of T. Rowe Price investment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Arial" w:cs="Arial" w:eastAsia="Arial" w:hAnsi="Arial"/>
                <w:sz w:val="14"/>
                <w:szCs w:val="14"/>
                <w:color w:val="auto"/>
              </w:rPr>
              <w:t>Balances at June 30, 2024</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222,612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368.8</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$ 9,564.6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9,928.7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10,134.0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46"/>
        </w:trPr>
        <w:tc>
          <w:tcPr>
            <w:tcW w:w="37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37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gridSpan w:val="3"/>
          </w:tcPr>
          <w:p>
            <w:pPr>
              <w:spacing w:after="0"/>
              <w:rPr>
                <w:sz w:val="24"/>
                <w:szCs w:val="24"/>
                <w:color w:val="auto"/>
              </w:rPr>
            </w:pPr>
          </w:p>
        </w:tc>
        <w:tc>
          <w:tcPr>
            <w:tcW w:w="940" w:type="dxa"/>
            <w:vAlign w:val="bottom"/>
            <w:tcBorders>
              <w:top w:val="single" w:sz="8" w:color="CCEEFF"/>
            </w:tcBorders>
            <w:gridSpan w:val="3"/>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7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0" w:type="dxa"/>
            <w:vAlign w:val="bottom"/>
            <w:tcBorders>
              <w:bottom w:val="single" w:sz="8" w:color="auto"/>
            </w:tcBorders>
            <w:gridSpan w:val="8"/>
            <w:shd w:val="clear" w:color="auto" w:fill="CCEEFF"/>
          </w:tcPr>
          <w:p>
            <w:pPr>
              <w:ind w:left="520"/>
              <w:spacing w:after="0"/>
              <w:rPr>
                <w:sz w:val="20"/>
                <w:szCs w:val="20"/>
                <w:color w:val="auto"/>
              </w:rPr>
            </w:pPr>
            <w:r>
              <w:rPr>
                <w:rFonts w:ascii="Arial" w:cs="Arial" w:eastAsia="Arial" w:hAnsi="Arial"/>
                <w:sz w:val="13"/>
                <w:szCs w:val="13"/>
                <w:b w:val="1"/>
                <w:bCs w:val="1"/>
                <w:color w:val="auto"/>
              </w:rPr>
              <w:t>Six months ended 6/30/2023</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80"/>
              <w:spacing w:after="0" w:line="131" w:lineRule="exact"/>
              <w:rPr>
                <w:sz w:val="20"/>
                <w:szCs w:val="20"/>
                <w:color w:val="auto"/>
              </w:rPr>
            </w:pPr>
            <w:r>
              <w:rPr>
                <w:rFonts w:ascii="Arial" w:cs="Arial" w:eastAsia="Arial" w:hAnsi="Arial"/>
                <w:sz w:val="13"/>
                <w:szCs w:val="13"/>
                <w:b w:val="1"/>
                <w:bCs w:val="1"/>
                <w:color w:val="auto"/>
                <w:w w:val="96"/>
              </w:rPr>
              <w:t>stockholders’</w:t>
            </w:r>
          </w:p>
        </w:tc>
        <w:tc>
          <w:tcPr>
            <w:tcW w:w="140" w:type="dxa"/>
            <w:vAlign w:val="bottom"/>
          </w:tcPr>
          <w:p>
            <w:pPr>
              <w:spacing w:after="0"/>
              <w:rPr>
                <w:sz w:val="11"/>
                <w:szCs w:val="1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9"/>
              </w:rPr>
              <w:t>equity</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4"/>
              </w:rPr>
              <w:t>to T. Rowe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2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740" w:type="dxa"/>
            <w:vAlign w:val="bottom"/>
            <w:gridSpan w:val="3"/>
            <w:vMerge w:val="continue"/>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Price Group,</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40" w:type="dxa"/>
            <w:vAlign w:val="bottom"/>
          </w:tcPr>
          <w:p>
            <w:pPr>
              <w:spacing w:after="0"/>
              <w:rPr>
                <w:sz w:val="15"/>
                <w:szCs w:val="15"/>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stock</w:t>
            </w:r>
          </w:p>
        </w:tc>
        <w:tc>
          <w:tcPr>
            <w:tcW w:w="7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8"/>
              </w:rPr>
              <w:t>par value</w:t>
            </w: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Inc.</w:t>
            </w:r>
          </w:p>
        </w:tc>
        <w:tc>
          <w:tcPr>
            <w:tcW w:w="14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entities</w:t>
            </w:r>
          </w:p>
        </w:tc>
        <w:tc>
          <w:tcPr>
            <w:tcW w:w="18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equity</w:t>
            </w:r>
          </w:p>
        </w:tc>
        <w:tc>
          <w:tcPr>
            <w:tcW w:w="120" w:type="dxa"/>
            <w:vAlign w:val="bottom"/>
          </w:tcPr>
          <w:p>
            <w:pPr>
              <w:spacing w:after="0"/>
              <w:rPr>
                <w:sz w:val="15"/>
                <w:szCs w:val="15"/>
                <w:color w:val="auto"/>
              </w:rPr>
            </w:pPr>
          </w:p>
        </w:tc>
        <w:tc>
          <w:tcPr>
            <w:tcW w:w="660" w:type="dxa"/>
            <w:vAlign w:val="bottom"/>
          </w:tcPr>
          <w:p>
            <w:pPr>
              <w:jc w:val="center"/>
              <w:ind w:right="2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224,310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437.9</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$ 8,409.7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8,839.5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4"/>
                <w:szCs w:val="14"/>
                <w:color w:val="auto"/>
              </w:rPr>
              <w:t>Dividends declared ($2.44 per share)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(561.2)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74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7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115.5</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7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760" w:type="dxa"/>
            <w:vAlign w:val="bottom"/>
          </w:tcPr>
          <w:p>
            <w:pPr>
              <w:jc w:val="right"/>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distributions to non-controlling interests in</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4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consolidations of T. Rowe Price investment products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color w:val="auto"/>
              </w:rPr>
              <w:t>Balances at June 30, 2023</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224,281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520.6</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$ 8,746.2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9,263.8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9,465.9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985.2</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0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and other T. Rowe Price products. The other T. Rowe Price products include: open-ended investment products offered to investors outside the U.S., products offered through variable annuity life insurance plans in the U.S., affiliated private investment funds and collateralized loan obligations.</w:t>
      </w:r>
    </w:p>
    <w:p>
      <w:pPr>
        <w:spacing w:after="0" w:line="20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unaudited financial information contained in these condensed consolidated financial statements should be read in conjunction with the consolidated financial statements contained in our 2023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 </w:t>
      </w:r>
      <w:r>
        <w:rPr>
          <w:rFonts w:ascii="Arial" w:cs="Arial" w:eastAsia="Arial" w:hAnsi="Arial"/>
          <w:sz w:val="18"/>
          <w:szCs w:val="18"/>
          <w:i w:val="1"/>
          <w:iCs w:val="1"/>
          <w:color w:val="auto"/>
        </w:rPr>
        <w:t>Segment Reporting (Topic 280) - Improvements to Reportable Segment Disclosures</w:t>
      </w:r>
      <w:r>
        <w:rPr>
          <w:rFonts w:ascii="Arial" w:cs="Arial" w:eastAsia="Arial" w:hAnsi="Arial"/>
          <w:sz w:val="18"/>
          <w:szCs w:val="18"/>
          <w:color w:val="auto"/>
        </w:rPr>
        <w:t>. As required by the guidance, we will adopt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segment expenses that are regularly provided to the chief operating decision maker  in our 2024 year-end reporting. Interim segment reporting will become effective under the amendment on January 1, 2025.</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In December 2023, the FASB issued Accounting Standards Update No. 2023-09 - </w:t>
      </w:r>
      <w:r>
        <w:rPr>
          <w:rFonts w:ascii="Arial" w:cs="Arial" w:eastAsia="Arial" w:hAnsi="Arial"/>
          <w:sz w:val="18"/>
          <w:szCs w:val="18"/>
          <w:i w:val="1"/>
          <w:iCs w:val="1"/>
          <w:color w:val="auto"/>
        </w:rPr>
        <w:t>Income Taxes (Topic 740) - 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requires public entities, on an annual basis, to provide disclosure of specific categories in the rate reconciliation,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disclosure of income taxes paid disaggregated by jurisdiction. This amendment is effective for the firm on January 1, 2025. We are currently evaluating the impact of adopting this standard and have not yet determined our transition approach.</w:t>
      </w:r>
    </w:p>
    <w:p>
      <w:pPr>
        <w:spacing w:after="0" w:line="20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revenues earned in the three- and six-month periods ended June 30, 2024 and 2023, are included in the table below along with details of investment advisory revenues earned from clients by their underlying asset class. We also included average assets under management by asset class, on which we earn the investment advisory revenues.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5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20" w:type="dxa"/>
            <w:vAlign w:val="bottom"/>
            <w:tcBorders>
              <w:right w:val="single" w:sz="8" w:color="auto"/>
            </w:tcBorders>
            <w:gridSpan w:val="5"/>
            <w:shd w:val="clear" w:color="auto" w:fill="CCEEFF"/>
          </w:tcPr>
          <w:p>
            <w:pPr>
              <w:ind w:left="48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shd w:val="clear" w:color="auto" w:fill="CCEEFF"/>
          </w:tcPr>
          <w:p>
            <w:pPr>
              <w:spacing w:after="0"/>
              <w:rPr>
                <w:sz w:val="16"/>
                <w:szCs w:val="16"/>
                <w:color w:val="auto"/>
              </w:rPr>
            </w:pPr>
          </w:p>
        </w:tc>
        <w:tc>
          <w:tcPr>
            <w:tcW w:w="2520" w:type="dxa"/>
            <w:vAlign w:val="bottom"/>
            <w:gridSpan w:val="4"/>
            <w:shd w:val="clear" w:color="auto" w:fill="CCEEFF"/>
          </w:tcPr>
          <w:p>
            <w:pPr>
              <w:jc w:val="right"/>
              <w:ind w:right="691"/>
              <w:spacing w:after="0"/>
              <w:rPr>
                <w:sz w:val="20"/>
                <w:szCs w:val="20"/>
                <w:color w:val="auto"/>
              </w:rPr>
            </w:pPr>
            <w:r>
              <w:rPr>
                <w:rFonts w:ascii="Arial" w:cs="Arial" w:eastAsia="Arial" w:hAnsi="Arial"/>
                <w:sz w:val="13"/>
                <w:szCs w:val="13"/>
                <w:b w:val="1"/>
                <w:bCs w:val="1"/>
                <w:color w:val="auto"/>
              </w:rPr>
              <w:t>Six months ended</w:t>
            </w: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6/30/2024</w:t>
            </w:r>
          </w:p>
        </w:tc>
        <w:tc>
          <w:tcPr>
            <w:tcW w:w="8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right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6/30/2023</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948.9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Borders>
              <w:right w:val="single" w:sz="8" w:color="auto"/>
            </w:tcBorders>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1,696.2</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30"/>
        </w:trPr>
        <w:tc>
          <w:tcPr>
            <w:tcW w:w="566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777.3</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1,585.6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1,430.8</w:t>
            </w:r>
          </w:p>
        </w:tc>
        <w:tc>
          <w:tcPr>
            <w:tcW w:w="100" w:type="dxa"/>
            <w:vAlign w:val="bottom"/>
            <w:tcBorders>
              <w:right w:val="single" w:sz="8" w:color="auto"/>
            </w:tcBorders>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2,822.6</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allocation-based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administrative, distribution, and servicing fees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790.4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Borders>
              <w:right w:val="single" w:sz="8" w:color="auto"/>
            </w:tcBorders>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695.2</w:t>
            </w:r>
          </w:p>
        </w:tc>
      </w:tr>
      <w:tr>
        <w:trPr>
          <w:trHeight w:val="230"/>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430.7</w:t>
            </w:r>
          </w:p>
        </w:tc>
      </w:tr>
      <w:tr>
        <w:trPr>
          <w:trHeight w:val="229"/>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Average AUM</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w:t>
            </w:r>
          </w:p>
        </w:tc>
        <w:tc>
          <w:tcPr>
            <w:tcW w:w="100" w:type="dxa"/>
            <w:vAlign w:val="bottom"/>
            <w:tcBorders>
              <w:right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w:t>
            </w: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Total net revenues earned from our sponsored products, primarily our sponsored U.S. mutual funds and collective investment trusts, aggregate $1,429.4 million and $1,324.4 million for the three months ended June 30, 2024 and 2023, respectively. Total net revenues earned during the six months ended June 30, 2024 and 2023 aggregate $2,873.0 million and $2,592.4 million, respectively. Accounts receivable from our sponsored products aggregate to $577.3 million at June 30, 2024 and $533.9 million at December 31, 2023.</w:t>
      </w:r>
    </w:p>
    <w:p>
      <w:pPr>
        <w:spacing w:after="0" w:line="2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8.6% at June 30, 2024, 8.5% at March 31, 2024, and 8.6% at December 31, 2023 of our assets under management.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sponsored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12/31/2023</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806.6</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2,554.7</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investment partnerships held at fair value are valued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During the three- and six- months ended June 30, 2024, net gains on investments included $20.0 million and $85.0 million, respectively, of net unrealized gains related to investments carried at fair value that were still held at June 30, 2024. For the same periods of 2023, net gains on investments included $28.3 million and $75.0 million, respectively, of net unrealized gains related to investments carried at fair value that were still held at June 30, 2023.</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2024 and 2023, certain sponsored investment products in which we provided initial seed capital at the time of formation were deconsolidated, as we no longer had a controlling interest. Depending on our ownership interest, we report our residual interests in these sponsored investment products as either an equity method investment or an investment held at fair value. The net impact of these changes on our unaudited condensed consolidated balance sheets and statements of income as of the dates the products were deconsolidated is detailed below.</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40" w:type="dxa"/>
            <w:vAlign w:val="bottom"/>
            <w:gridSpan w:val="4"/>
            <w:shd w:val="clear" w:color="auto" w:fill="CCEEFF"/>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Net increase (decrease) in assets of consolidated sponsored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720" w:type="dxa"/>
            <w:vAlign w:val="bottom"/>
          </w:tcPr>
          <w:p>
            <w:pPr>
              <w:ind w:left="20"/>
              <w:spacing w:after="0" w:line="176" w:lineRule="exact"/>
              <w:rPr>
                <w:sz w:val="20"/>
                <w:szCs w:val="20"/>
                <w:color w:val="auto"/>
              </w:rPr>
            </w:pPr>
            <w:r>
              <w:rPr>
                <w:rFonts w:ascii="Arial" w:cs="Arial" w:eastAsia="Arial" w:hAnsi="Arial"/>
                <w:sz w:val="18"/>
                <w:szCs w:val="18"/>
                <w:color w:val="auto"/>
              </w:rPr>
              <w:t>Net increase (decrease) in liabilities of consolidated sponsored</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There is debt associated with our long-term investments in affiliated collateralized loan obligations (“CLOs”). This debt is carried at $77.2 million at June 30, 2024 and $89.4 million at December 31, 2023, and is reported in accounts payable and accrued expenses in our unaudited condensed consolidated balance sheets. The debt includes outstanding repurchase agreements of €61.1 million (equivalent to $65.5 million at June 30, 2024 and $ 72.3 million at December 31, 2023 at the respective EUR spot rates) that are collateralized by the CLO investments. The debt also includes outstanding note facilities of €10.9 million (equivalent to $ 11.7 million at June 30, 2024 and $17.1 million at December 31, 2023, at the respective EUR spot rates) that are collateralized by first priority security interests in the assets of a consolidated subsidiary that is party to the notes. These note facilities bear interest at rates based on EURIBOR plus the initial margin, which equals all-in rates ranging from 1.15% to 12.77% as of June 30, 2024. The debt matures on various dates through 2035 or if the investments are paid back in full or cancelled, whichever is sooner.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investments at June 30, 2024 and December 31, 2023 include interests in variable interest entities that we do not consolidate as we are not deemed the primary beneficiary. Our maximum risk of loss related to our involvement with these entities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6/30/2024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877.3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919.3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unfunded capital commitments, totaling $81.4 million at June 30, 2024 and $94.1 million at December 31, 2023, relate primarily to the affiliated private investment funds and the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FUNDS - CARRIED INTEREST.</w:t>
      </w:r>
    </w:p>
    <w:p>
      <w:pPr>
        <w:spacing w:after="0" w:line="25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Certain of the investments in affiliated funds represent interests in the general partners of affiliated private investment funds that are entitled to a disproportionate allocation of income or carried interest. The entities holding such interests are considered variable interest entities and are consolidated as we were determined to be the primary beneficiary.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total assets, liabilities, and non-controlling interests of these consolidated variable interest entities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6/30/2024</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12/31/2023</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192.0</w:t>
            </w:r>
          </w:p>
        </w:tc>
      </w:tr>
      <w:tr>
        <w:trPr>
          <w:trHeight w:val="21"/>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260" w:right="2240" w:hanging="249"/>
        <w:spacing w:after="0" w:line="266"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color w:val="auto"/>
        </w:rPr>
        <w:t>obtained from independent sources.</w:t>
      </w:r>
    </w:p>
    <w:p>
      <w:pPr>
        <w:spacing w:after="0" w:line="27"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sponsored investment products which are presented separately in our unaudited condensed consolidated balance sheets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6/30/2024</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12/31/2023</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4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$66.4 million at June 30, 2024, and $69.0 million at December 31, 2023.</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Level 3 investments’ fair value is derived from inputs that are unobservable and that reflect our own determinations about the assumptions that market participants would use in pricing the investments, including assumptions about risk. These inputs are developed based on our data, which is adjusted if information indicates that market participants would use different assumptions. For the three months ended June 30, 2024, the change in Level 3 fair values are solely attributable to the purchases of new investments and there were no transfers into or out of Level 3. The following table provides information about the significant Level 3 inputs: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20" w:type="dxa"/>
            <w:vAlign w:val="bottom"/>
            <w:tcBorders>
              <w:bottom w:val="single" w:sz="8" w:color="auto"/>
            </w:tcBorders>
            <w:gridSpan w:val="4"/>
            <w:shd w:val="clear" w:color="auto" w:fill="CCEEFF"/>
          </w:tcPr>
          <w:p>
            <w:pPr>
              <w:ind w:left="920"/>
              <w:spacing w:after="0"/>
              <w:rPr>
                <w:sz w:val="20"/>
                <w:szCs w:val="20"/>
                <w:color w:val="auto"/>
              </w:rPr>
            </w:pPr>
            <w:r>
              <w:rPr>
                <w:rFonts w:ascii="Arial" w:cs="Arial" w:eastAsia="Arial" w:hAnsi="Arial"/>
                <w:sz w:val="14"/>
                <w:szCs w:val="14"/>
                <w:b w:val="1"/>
                <w:bCs w:val="1"/>
                <w:color w:val="auto"/>
              </w:rPr>
              <w:t>Fair value measurements as of June 30, 2024</w:t>
            </w:r>
          </w:p>
        </w:tc>
        <w:tc>
          <w:tcPr>
            <w:tcW w:w="1500" w:type="dxa"/>
            <w:vAlign w:val="bottom"/>
            <w:tcBorders>
              <w:bottom w:val="single" w:sz="8" w:color="auto"/>
            </w:tcBorders>
            <w:shd w:val="clear" w:color="auto" w:fill="CCEEFF"/>
          </w:tcPr>
          <w:p>
            <w:pPr>
              <w:spacing w:after="0"/>
              <w:rPr>
                <w:sz w:val="17"/>
                <w:szCs w:val="17"/>
                <w:color w:val="auto"/>
              </w:rPr>
            </w:pPr>
          </w:p>
        </w:tc>
      </w:tr>
      <w:tr>
        <w:trPr>
          <w:trHeight w:val="21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 input</w:t>
            </w: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Market Yield (Comparables)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Yield</w:t>
            </w:r>
          </w:p>
        </w:tc>
        <w:tc>
          <w:tcPr>
            <w:tcW w:w="150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9.4%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was contingent</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The amount recorded as compensation expense for the three- and six- months ended June 30, 2024 and 2023 was immaterial.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ind w:right="480"/>
        <w:spacing w:after="0" w:line="287"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6/30/2023</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6"/>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6"/>
              </w:rPr>
              <w:t>95.8</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Unrealized gains, included in earnings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center"/>
              <w:ind w:left="475"/>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center"/>
              <w:ind w:left="495"/>
              <w:spacing w:after="0"/>
              <w:rPr>
                <w:sz w:val="20"/>
                <w:szCs w:val="20"/>
                <w:color w:val="auto"/>
              </w:rPr>
            </w:pPr>
            <w:r>
              <w:rPr>
                <w:rFonts w:ascii="Arial" w:cs="Arial" w:eastAsia="Arial" w:hAnsi="Arial"/>
                <w:sz w:val="18"/>
                <w:szCs w:val="18"/>
                <w:color w:val="auto"/>
              </w:rPr>
              <w:t>(72.8)</w:t>
            </w: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96"/>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6"/>
              </w:rPr>
              <w:t>23.0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For the three- and six- months ended June 30, 2024 and 2023, the amounts recognized as part of compensation expense in our unaudited condensed consolidated statements of income were immaterial.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PRODUCTS.</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sponsored investment products that we consolidate in our unaudited condensed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1,847.0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1,959.3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$17.8 million at June 30, 2024, and $16.2 million at December 31, 2023, of investments in T. Rowe Price money market mutual funds.</w:t>
      </w:r>
    </w:p>
    <w:p>
      <w:pPr>
        <w:spacing w:after="0" w:line="3" w:lineRule="exact"/>
        <w:rPr>
          <w:rFonts w:ascii="Arial" w:cs="Arial" w:eastAsia="Arial" w:hAnsi="Arial"/>
          <w:sz w:val="16"/>
          <w:szCs w:val="16"/>
          <w:i w:val="1"/>
          <w:iCs w:val="1"/>
          <w:color w:val="auto"/>
          <w:vertAlign w:val="superscript"/>
        </w:rPr>
      </w:pPr>
    </w:p>
    <w:p>
      <w:pPr>
        <w:ind w:left="140" w:hanging="132"/>
        <w:spacing w:after="0" w:line="229"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$6.2 million at June 30, 2024, and $6.2 million at December 31, 2023 of other sponsored investment products.</w:t>
      </w:r>
    </w:p>
    <w:p>
      <w:pPr>
        <w:spacing w:after="0" w:line="21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Although we can redeem our interest in these consolidated sponsored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sponsored investment products is limited to valuation changes associated with our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ind w:right="120"/>
        <w:spacing w:after="0" w:line="268" w:lineRule="auto"/>
        <w:rPr>
          <w:sz w:val="20"/>
          <w:szCs w:val="20"/>
          <w:color w:val="auto"/>
        </w:rPr>
      </w:pPr>
      <w:r>
        <w:rPr>
          <w:rFonts w:ascii="Arial" w:cs="Arial" w:eastAsia="Arial" w:hAnsi="Arial"/>
          <w:sz w:val="18"/>
          <w:szCs w:val="18"/>
          <w:color w:val="auto"/>
        </w:rPr>
        <w:t>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operating results of the consolidated sponsored investment products for the three- and six- months ended June 30, 2024 and 2023, are reflected in our unaudited condensed consolidated statements of income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8"/>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6/30/2023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30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8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300"/>
              <w:spacing w:after="0" w:line="145"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3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ind w:left="500"/>
              <w:spacing w:after="0"/>
              <w:rPr>
                <w:sz w:val="20"/>
                <w:szCs w:val="20"/>
                <w:color w:val="auto"/>
              </w:rPr>
            </w:pPr>
            <w:r>
              <w:rPr>
                <w:rFonts w:ascii="Arial" w:cs="Arial" w:eastAsia="Arial" w:hAnsi="Arial"/>
                <w:sz w:val="18"/>
                <w:szCs w:val="18"/>
                <w:color w:val="auto"/>
                <w:w w:val="97"/>
              </w:rPr>
              <w:t>(1.9)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center"/>
              <w:ind w:left="315"/>
              <w:spacing w:after="0"/>
              <w:rPr>
                <w:sz w:val="20"/>
                <w:szCs w:val="20"/>
                <w:color w:val="auto"/>
              </w:rPr>
            </w:pPr>
            <w:r>
              <w:rPr>
                <w:rFonts w:ascii="Arial" w:cs="Arial" w:eastAsia="Arial" w:hAnsi="Arial"/>
                <w:sz w:val="18"/>
                <w:szCs w:val="18"/>
                <w:color w:val="auto"/>
                <w:w w:val="97"/>
              </w:rPr>
              <w:t>(2.6)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center"/>
              <w:ind w:left="336"/>
              <w:spacing w:after="0"/>
              <w:rPr>
                <w:sz w:val="20"/>
                <w:szCs w:val="20"/>
                <w:color w:val="auto"/>
              </w:rPr>
            </w:pPr>
            <w:r>
              <w:rPr>
                <w:rFonts w:ascii="Arial" w:cs="Arial" w:eastAsia="Arial" w:hAnsi="Arial"/>
                <w:sz w:val="18"/>
                <w:szCs w:val="18"/>
                <w:color w:val="auto"/>
                <w:w w:val="97"/>
              </w:rPr>
              <w:t>(0.8)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gridSpan w:val="2"/>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ind w:left="4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center"/>
              <w:ind w:left="335"/>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56"/>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gridSpan w:val="4"/>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ind w:left="335"/>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356"/>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center"/>
              <w:ind w:left="335"/>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56"/>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0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8"/>
            <w:shd w:val="clear" w:color="auto" w:fill="CCEEFF"/>
          </w:tcPr>
          <w:p>
            <w:pPr>
              <w:ind w:left="2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2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6/30/2024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4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426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entities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4260" w:type="dxa"/>
            <w:vAlign w:val="bottom"/>
          </w:tcPr>
          <w:p>
            <w:pPr>
              <w:ind w:left="20"/>
              <w:spacing w:after="0" w:line="163" w:lineRule="exact"/>
              <w:rPr>
                <w:sz w:val="20"/>
                <w:szCs w:val="20"/>
                <w:color w:val="auto"/>
              </w:rPr>
            </w:pPr>
            <w:r>
              <w:rPr>
                <w:rFonts w:ascii="Arial" w:cs="Arial" w:eastAsia="Arial" w:hAnsi="Arial"/>
                <w:sz w:val="18"/>
                <w:szCs w:val="18"/>
                <w:color w:val="auto"/>
              </w:rPr>
              <w:t>Operating expenses reflected in net operating</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ind w:left="520"/>
              <w:spacing w:after="0"/>
              <w:rPr>
                <w:sz w:val="20"/>
                <w:szCs w:val="20"/>
                <w:color w:val="auto"/>
              </w:rPr>
            </w:pPr>
            <w:r>
              <w:rPr>
                <w:rFonts w:ascii="Arial" w:cs="Arial" w:eastAsia="Arial" w:hAnsi="Arial"/>
                <w:sz w:val="18"/>
                <w:szCs w:val="18"/>
                <w:color w:val="auto"/>
                <w:w w:val="91"/>
              </w:rPr>
              <w:t>(3.4)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center"/>
              <w:ind w:left="355"/>
              <w:spacing w:after="0"/>
              <w:rPr>
                <w:sz w:val="20"/>
                <w:szCs w:val="20"/>
                <w:color w:val="auto"/>
              </w:rPr>
            </w:pPr>
            <w:r>
              <w:rPr>
                <w:rFonts w:ascii="Arial" w:cs="Arial" w:eastAsia="Arial" w:hAnsi="Arial"/>
                <w:sz w:val="18"/>
                <w:szCs w:val="18"/>
                <w:color w:val="auto"/>
                <w:w w:val="97"/>
              </w:rPr>
              <w:t>(4.9)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376"/>
              <w:spacing w:after="0"/>
              <w:rPr>
                <w:sz w:val="20"/>
                <w:szCs w:val="20"/>
                <w:color w:val="auto"/>
              </w:rPr>
            </w:pPr>
            <w:r>
              <w:rPr>
                <w:rFonts w:ascii="Arial" w:cs="Arial" w:eastAsia="Arial" w:hAnsi="Arial"/>
                <w:sz w:val="18"/>
                <w:szCs w:val="18"/>
                <w:color w:val="auto"/>
                <w:w w:val="97"/>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ind w:left="440"/>
              <w:spacing w:after="0"/>
              <w:rPr>
                <w:sz w:val="20"/>
                <w:szCs w:val="20"/>
                <w:color w:val="auto"/>
              </w:rPr>
            </w:pPr>
            <w:r>
              <w:rPr>
                <w:rFonts w:ascii="Arial" w:cs="Arial" w:eastAsia="Arial" w:hAnsi="Arial"/>
                <w:sz w:val="18"/>
                <w:szCs w:val="18"/>
                <w:color w:val="auto"/>
                <w:w w:val="97"/>
              </w:rPr>
              <w:t>(7.4)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income</w:t>
            </w:r>
          </w:p>
        </w:tc>
        <w:tc>
          <w:tcPr>
            <w:tcW w:w="2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51.1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center"/>
              <w:ind w:left="275"/>
              <w:spacing w:after="0"/>
              <w:rPr>
                <w:sz w:val="20"/>
                <w:szCs w:val="20"/>
                <w:color w:val="auto"/>
              </w:rPr>
            </w:pPr>
            <w:r>
              <w:rPr>
                <w:rFonts w:ascii="Arial" w:cs="Arial" w:eastAsia="Arial" w:hAnsi="Arial"/>
                <w:sz w:val="18"/>
                <w:szCs w:val="18"/>
                <w:color w:val="auto"/>
              </w:rPr>
              <w:t>80.8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57.1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47.7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275"/>
              <w:spacing w:after="0"/>
              <w:rPr>
                <w:sz w:val="20"/>
                <w:szCs w:val="20"/>
                <w:color w:val="auto"/>
              </w:rPr>
            </w:pPr>
            <w:r>
              <w:rPr>
                <w:rFonts w:ascii="Arial" w:cs="Arial" w:eastAsia="Arial" w:hAnsi="Arial"/>
                <w:sz w:val="18"/>
                <w:szCs w:val="18"/>
                <w:color w:val="auto"/>
              </w:rPr>
              <w:t>75.9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52.2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w w:val="99"/>
              </w:rPr>
              <w:t>Net income (loss) attributable to T. Rowe Price Group $</w:t>
            </w: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480"/>
              <w:spacing w:after="0"/>
              <w:rPr>
                <w:sz w:val="20"/>
                <w:szCs w:val="20"/>
                <w:color w:val="auto"/>
              </w:rPr>
            </w:pPr>
            <w:r>
              <w:rPr>
                <w:rFonts w:ascii="Arial" w:cs="Arial" w:eastAsia="Arial" w:hAnsi="Arial"/>
                <w:sz w:val="18"/>
                <w:szCs w:val="18"/>
                <w:color w:val="auto"/>
              </w:rPr>
              <w:t>31.6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275"/>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460"/>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center"/>
              <w:ind w:left="275"/>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47.7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275"/>
              <w:spacing w:after="0"/>
              <w:rPr>
                <w:sz w:val="20"/>
                <w:szCs w:val="20"/>
                <w:color w:val="auto"/>
              </w:rPr>
            </w:pPr>
            <w:r>
              <w:rPr>
                <w:rFonts w:ascii="Arial" w:cs="Arial" w:eastAsia="Arial" w:hAnsi="Arial"/>
                <w:sz w:val="18"/>
                <w:szCs w:val="18"/>
                <w:color w:val="auto"/>
              </w:rPr>
              <w:t>75.9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52.2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$0.5 million and $0.3 million for the three months ended June 30, 2024 and 2023, respectively, against the investment advisory and administrative fees earned from these products. Operating expenses eliminated for the six months ended June 30, 2024 and 2023, were $1.7 million and $0.9 million, respectively. The net investment income (loss) reflected in non-operating income (loss) includes dividend and interest income as well as realized and unrealized gains and losses on the underlying securities held by the consolidated sponsored investment products.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4" w:name="page15"/>
    <w:bookmarkEnd w:id="14"/>
    <w:p>
      <w:pPr>
        <w:ind w:right="104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six months ended June 30, 2024 and 2023.</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equivalents of consolidated sponsored investment products</w:t>
            </w: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220"/>
        <w:spacing w:after="0" w:line="233" w:lineRule="auto"/>
        <w:rPr>
          <w:sz w:val="20"/>
          <w:szCs w:val="20"/>
          <w:color w:val="auto"/>
        </w:rPr>
      </w:pPr>
      <w:r>
        <w:rPr>
          <w:rFonts w:ascii="Arial" w:cs="Arial" w:eastAsia="Arial" w:hAnsi="Arial"/>
          <w:sz w:val="18"/>
          <w:szCs w:val="18"/>
          <w:color w:val="auto"/>
        </w:rPr>
        <w:t>For the six months ended June 30, 2024, the net cash provided by or used in financing activities includes $ 16.4 million of net subscriptions we made into the consolidated sponsored investment products and dividends received. For the six months ended June 30, 2023, the net cash provided by or used in financing activities included $41.6 million of net redemptions we made from the consolidated sponsored investment products, net of dividends received. These cash flows were eliminated in consolidation.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determine the fair value of investments held by consolidated sponsored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740" w:right="2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6/30/2024</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12/31/2023</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5"/>
        </w:trPr>
        <w:tc>
          <w:tcPr>
            <w:tcW w:w="5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1,179.8</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1,241.9</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58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6/30/2024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3,150.1</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Amortization and impairment expense for the definite-lived intangible assets was $27.2 million and $52.7 million for the three- and six-months ended June 30, 2024, respectively. For the three- and six- months ended June 30, 2023, amortization and impairment expense for the definite-lived intangible assets was $ 26.4 million and $52.4 million, respectively. Estimated amortization expense for the definite-lived intangible assets for the five succeeding years is a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Remaining 2024</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2026</w:t>
            </w:r>
          </w:p>
        </w:tc>
        <w:tc>
          <w:tcPr>
            <w:tcW w:w="4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9"/>
        </w:trPr>
        <w:tc>
          <w:tcPr>
            <w:tcW w:w="5720" w:type="dxa"/>
            <w:vAlign w:val="bottom"/>
          </w:tcPr>
          <w:p>
            <w:pPr>
              <w:ind w:left="140"/>
              <w:spacing w:after="0"/>
              <w:rPr>
                <w:sz w:val="20"/>
                <w:szCs w:val="20"/>
                <w:color w:val="auto"/>
              </w:rPr>
            </w:pPr>
            <w:r>
              <w:rPr>
                <w:rFonts w:ascii="Arial" w:cs="Arial" w:eastAsia="Arial" w:hAnsi="Arial"/>
                <w:sz w:val="18"/>
                <w:szCs w:val="18"/>
                <w:color w:val="auto"/>
              </w:rPr>
              <w:t>2028</w:t>
            </w:r>
          </w:p>
        </w:tc>
        <w:tc>
          <w:tcPr>
            <w:tcW w:w="4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indefinite-lived intangible assets are tested for impairment annually, in the fourth quarter, or more frequently if events or changes in circumstances indicate that it is more likely than not that the intangible asset is impaired. Based on a review of qualitative factors, primarily the future outlook, we determined it was necessary to perform a quantitative impairment test on the trade name intangible asset during the three months ended June 30, 2024. The quantitative impairment test resulted in the carrying amount of the trade name intangible asset exceeding its fair value and we recognized an impairment charge of $12.3 million, which represented the excess. Fair value was determined using a discounted cash flow analysis where estimated future cash flows were discounted to arrive at a single present value amount. This approach included inputs that required significant management judgment, the most relevant of which include revenue growth, discount rate, and effective tax rate.</w:t>
      </w:r>
    </w:p>
    <w:p>
      <w:pPr>
        <w:spacing w:after="0" w:line="21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evaluate the carrying amount of goodwill in our unaudited condensed consolidated balance sheets for possible impairment on an annual basis in the fourth quarter or if triggering events occur that require us to evaluate for impairment earlier. No triggering events arose during the six months ended June 30,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9"/>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3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2023</w:t>
            </w:r>
          </w:p>
        </w:tc>
        <w:tc>
          <w:tcPr>
            <w:tcW w:w="1420" w:type="dxa"/>
            <w:vAlign w:val="bottom"/>
          </w:tcPr>
          <w:p>
            <w:pPr>
              <w:jc w:val="right"/>
              <w:spacing w:after="0"/>
              <w:rPr>
                <w:sz w:val="20"/>
                <w:szCs w:val="20"/>
                <w:color w:val="auto"/>
              </w:rPr>
            </w:pPr>
            <w:r>
              <w:rPr>
                <w:rFonts w:ascii="Arial" w:cs="Arial" w:eastAsia="Arial" w:hAnsi="Arial"/>
                <w:sz w:val="18"/>
                <w:szCs w:val="18"/>
                <w:color w:val="auto"/>
              </w:rPr>
              <w:t>1,476,104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(420,387)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June 30,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1,053,949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six months ended June 30,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56,740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6,485,253</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39,896</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1,860</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(98,941)</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127.48</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6,367,042</w:t>
            </w:r>
          </w:p>
        </w:tc>
        <w:tc>
          <w:tcPr>
            <w:tcW w:w="380" w:type="dxa"/>
            <w:vAlign w:val="bottom"/>
            <w:tcBorders>
              <w:top w:val="single" w:sz="8" w:color="CCEEFF"/>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Nonvested at June 30, 2024, includes performance-based restricted stock units of 334,548. These nonvested performance-based restricted stock units include 108,775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June 30, 2024. Estimated future compensation expense will change to reflect future grants of restricted stock awards and units, future option grants, changes in the probability of performance thresholds being met, and adjustments for actual forfeitures.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Third quarter 2024</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2024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through 2029</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r>
      <w:tr>
        <w:trPr>
          <w:trHeight w:val="20"/>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allocated to outstanding restricted stock and stock</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 holders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changes in currency translation adjustments included in accumulated other comprehensive loss for the three months ended June 30, 2024 and 2023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0" w:type="dxa"/>
            <w:vAlign w:val="bottom"/>
            <w:gridSpan w:val="8"/>
            <w:shd w:val="clear" w:color="auto" w:fill="CCEEFF"/>
          </w:tcPr>
          <w:p>
            <w:pPr>
              <w:ind w:left="800"/>
              <w:spacing w:after="0"/>
              <w:rPr>
                <w:sz w:val="20"/>
                <w:szCs w:val="20"/>
                <w:color w:val="auto"/>
              </w:rPr>
            </w:pPr>
            <w:r>
              <w:rPr>
                <w:rFonts w:ascii="Arial" w:cs="Arial" w:eastAsia="Arial" w:hAnsi="Arial"/>
                <w:sz w:val="14"/>
                <w:szCs w:val="14"/>
                <w:b w:val="1"/>
                <w:bCs w:val="1"/>
                <w:color w:val="auto"/>
              </w:rPr>
              <w:t>Three months ended 6/30/2024</w:t>
            </w:r>
          </w:p>
        </w:tc>
        <w:tc>
          <w:tcPr>
            <w:tcW w:w="120" w:type="dxa"/>
            <w:vAlign w:val="bottom"/>
            <w:shd w:val="clear" w:color="auto" w:fill="CCEEFF"/>
          </w:tcPr>
          <w:p>
            <w:pPr>
              <w:spacing w:after="0"/>
              <w:rPr>
                <w:sz w:val="17"/>
                <w:szCs w:val="17"/>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6/30/2023</w:t>
            </w:r>
          </w:p>
        </w:tc>
        <w:tc>
          <w:tcPr>
            <w:tcW w:w="0" w:type="dxa"/>
            <w:vAlign w:val="bottom"/>
          </w:tcPr>
          <w:p>
            <w:pPr>
              <w:spacing w:after="0"/>
              <w:rPr>
                <w:sz w:val="1"/>
                <w:szCs w:val="1"/>
                <w:color w:val="auto"/>
              </w:rPr>
            </w:pPr>
          </w:p>
        </w:tc>
      </w:tr>
      <w:tr>
        <w:trPr>
          <w:trHeight w:val="146"/>
        </w:trPr>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products -</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2"/>
                <w:szCs w:val="12"/>
                <w:color w:val="auto"/>
              </w:rPr>
            </w:pPr>
          </w:p>
        </w:tc>
        <w:tc>
          <w:tcPr>
            <w:tcW w:w="14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2"/>
                <w:szCs w:val="12"/>
                <w:color w:val="auto"/>
              </w:rPr>
            </w:pPr>
          </w:p>
        </w:tc>
        <w:tc>
          <w:tcPr>
            <w:tcW w:w="13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14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center"/>
              <w:ind w:left="724"/>
              <w:spacing w:after="0"/>
              <w:rPr>
                <w:sz w:val="20"/>
                <w:szCs w:val="20"/>
                <w:color w:val="auto"/>
              </w:rPr>
            </w:pPr>
            <w:r>
              <w:rPr>
                <w:rFonts w:ascii="Arial" w:cs="Arial" w:eastAsia="Arial" w:hAnsi="Arial"/>
                <w:sz w:val="16"/>
                <w:szCs w:val="16"/>
                <w:color w:val="auto"/>
                <w:w w:val="98"/>
              </w:rPr>
              <w:t>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142"/>
        </w:trPr>
        <w:tc>
          <w:tcPr>
            <w:tcW w:w="318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left="724"/>
              <w:spacing w:after="0"/>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left="643"/>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724"/>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623"/>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left="724"/>
              <w:spacing w:after="0"/>
              <w:rPr>
                <w:sz w:val="20"/>
                <w:szCs w:val="20"/>
                <w:color w:val="auto"/>
              </w:rPr>
            </w:pPr>
            <w:r>
              <w:rPr>
                <w:rFonts w:ascii="Arial" w:cs="Arial" w:eastAsia="Arial" w:hAnsi="Arial"/>
                <w:sz w:val="16"/>
                <w:szCs w:val="16"/>
                <w:color w:val="auto"/>
                <w:w w:val="98"/>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ind w:left="643"/>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724"/>
              <w:spacing w:after="0"/>
              <w:rPr>
                <w:sz w:val="20"/>
                <w:szCs w:val="20"/>
                <w:color w:val="auto"/>
              </w:rPr>
            </w:pPr>
            <w:r>
              <w:rPr>
                <w:rFonts w:ascii="Arial" w:cs="Arial" w:eastAsia="Arial" w:hAnsi="Arial"/>
                <w:sz w:val="16"/>
                <w:szCs w:val="16"/>
                <w:color w:val="auto"/>
                <w:w w:val="98"/>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center"/>
              <w:ind w:left="643"/>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other comprehensive income (loss) in the table above excludes other comprehensive gains of $0.4 million and $5.5 million for the three months ended June 30, 2024 and 2023, related to redeemable non-controlling interests held in our consolidated products.</w:t>
      </w:r>
    </w:p>
    <w:p>
      <w:pPr>
        <w:spacing w:after="0" w:line="34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changes in each component of accumulated other comprehensive loss for the six months ended June 30, 2024 and 2023, are presented in the table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Six months ended 6/30/2024</w:t>
            </w:r>
          </w:p>
        </w:tc>
        <w:tc>
          <w:tcPr>
            <w:tcW w:w="16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Six months ended 6/30/2023</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2"/>
                <w:szCs w:val="12"/>
                <w:color w:val="auto"/>
              </w:rPr>
            </w:pP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2"/>
                <w:szCs w:val="12"/>
                <w:color w:val="auto"/>
              </w:rPr>
            </w:pP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6"/>
                <w:szCs w:val="16"/>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center"/>
              <w:ind w:left="744"/>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center"/>
              <w:ind w:left="743"/>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42"/>
        </w:trPr>
        <w:tc>
          <w:tcPr>
            <w:tcW w:w="308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center"/>
              <w:ind w:left="724"/>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center"/>
              <w:ind w:left="763"/>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744"/>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43"/>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left="724"/>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center"/>
              <w:ind w:left="763"/>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center"/>
              <w:ind w:left="744"/>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763"/>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8" w:name="page19"/>
    <w:bookmarkEnd w:id="18"/>
    <w:p>
      <w:pPr>
        <w:jc w:val="both"/>
        <w:ind w:right="160"/>
        <w:spacing w:after="0" w:line="287" w:lineRule="auto"/>
        <w:rPr>
          <w:sz w:val="20"/>
          <w:szCs w:val="20"/>
          <w:color w:val="auto"/>
        </w:rPr>
      </w:pPr>
      <w:r>
        <w:rPr>
          <w:rFonts w:ascii="Arial" w:cs="Arial" w:eastAsia="Arial" w:hAnsi="Arial"/>
          <w:sz w:val="18"/>
          <w:szCs w:val="18"/>
          <w:color w:val="auto"/>
        </w:rPr>
        <w:t>The other comprehensive income (loss) in the table above excludes net losses of $1.2 million for 2024 period and net gains of $11.6 million for the 2023 period of other comprehensive income (loss) related to redeemable non-controlling interests held in our consolidated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$360 million for investment in future OHA product launches through 2026.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the related condensed consolidated statements of income and comprehensive income, and stockholders’ equity for the three- and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 periods ended June 30, 2024 and 2023, the related condensed consolidated statements of cash flows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2024 and 2023, and the related notes (collectively, the consolidated interim financial information). Based on our reviews, we are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aware of any material modifications that should be made to the consolidated interim financial information for it to be in conformity with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2023, and the related consolidated statements of income, comprehensive income, stockholders’ equity, and cash flows for the year then ended (not presented herein); and in our report dated February 16, 2024, we expressed an unqualified opinion on those consolidated financial statements. In our opinion, the information set forth in the accompanying condensed consolidated balance sheet as of December 31, 2023,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19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investment management industry has been evolving and industry participants are facing several challenging trends including passive investments taking market share from traditional active strategies; continued downward fee pressure; demand for new investment vehicles to</w:t>
      </w:r>
    </w:p>
    <w:p>
      <w:pPr>
        <w:ind w:right="300"/>
        <w:spacing w:after="0" w:line="245" w:lineRule="auto"/>
        <w:rPr>
          <w:sz w:val="20"/>
          <w:szCs w:val="20"/>
          <w:color w:val="auto"/>
        </w:rPr>
      </w:pPr>
      <w:r>
        <w:rPr>
          <w:rFonts w:ascii="Arial" w:cs="Arial" w:eastAsia="Arial" w:hAnsi="Arial"/>
          <w:sz w:val="18"/>
          <w:szCs w:val="18"/>
          <w:color w:val="auto"/>
        </w:rPr>
        <w:t>meet client needs; and an ever-changing regulatory landscape. In this regard, we have ample liquidity and resources that allow us to take advantage of attractive growth opportunities. We are investing in key capabilities, including investment professionals, distribution</w:t>
      </w:r>
    </w:p>
    <w:p>
      <w:pPr>
        <w:ind w:right="460"/>
        <w:spacing w:after="0" w:line="237" w:lineRule="auto"/>
        <w:rPr>
          <w:sz w:val="20"/>
          <w:szCs w:val="20"/>
          <w:color w:val="auto"/>
        </w:rPr>
      </w:pPr>
      <w:r>
        <w:rPr>
          <w:rFonts w:ascii="Arial" w:cs="Arial" w:eastAsia="Arial" w:hAnsi="Arial"/>
          <w:sz w:val="18"/>
          <w:szCs w:val="18"/>
          <w:color w:val="auto"/>
        </w:rPr>
        <w:t>professionals, technologies, and new product offerings in order to provide our clients with strong investment management expertise and service.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U.S. stocks were mixed in the second quarter amid strength in large, high-growth companies, especially technology-oriented companies expected to benefit from artificial intelligence (AI) developments. In contrast, stocks of smaller companies, which tend to be more sensitive than large-caps to the economy and interest rate movements, were hurt by diminished expectations for Federal (“Fed”) Reserve rate cuts this year stemming from persistent inflation.</w:t>
      </w:r>
    </w:p>
    <w:p>
      <w:pPr>
        <w:spacing w:after="0" w:line="201"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Developed non-U.S. equity markets generally underperformed large-cap U.S. stocks in dollar terms. In Europe, equity markets were mixed, with French shares falling about 7%. Developed Asian markets were mostly positive in dollar terms. Shares in Singapore led the region with a 9% gain, but Japanese stocks fell 4%.</w:t>
      </w:r>
    </w:p>
    <w:p>
      <w:pPr>
        <w:spacing w:after="0" w:line="19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Emerging equity markets outperformed stocks in developed markets in U.S. dollar terms. Equities in the emerging Europe, Middle East, and Africa (EMEA) region were mostly positive. Turkish shares rose more than 21%, as S&amp;P Global Ratings upgraded its sovereign credit rating. Emerging Asian markets were widely mixed in dollar terms, but Latin American markets were mostly negative, as regional heavyweights Mexico and Brazil tumbled 16% and 12%,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8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6/30/2024</w:t>
            </w:r>
          </w:p>
        </w:tc>
      </w:tr>
      <w:tr>
        <w:trPr>
          <w:trHeight w:val="224"/>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15.3%</w:t>
            </w:r>
          </w:p>
        </w:tc>
      </w:tr>
      <w:tr>
        <w:trPr>
          <w:trHeight w:val="229"/>
        </w:trPr>
        <w:tc>
          <w:tcPr>
            <w:tcW w:w="8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18.1%</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1.7%</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5.8%</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7.7%</w:t>
            </w:r>
          </w:p>
        </w:tc>
      </w:tr>
    </w:tbl>
    <w:p>
      <w:pPr>
        <w:spacing w:after="0" w:line="74" w:lineRule="exact"/>
        <w:rPr>
          <w:sz w:val="20"/>
          <w:szCs w:val="20"/>
          <w:color w:val="auto"/>
        </w:rPr>
      </w:pPr>
    </w:p>
    <w:p>
      <w:pPr>
        <w:ind w:left="180" w:hanging="132"/>
        <w:spacing w:after="0"/>
        <w:tabs>
          <w:tab w:leader="none" w:pos="18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20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U.S. bond index returns were mostly positive in the second quarter of 2024. U.S. Treasury bill yields were little changed as the Fed kept the fed funds target rate in the 5.25% to 5.50% range, but intermediate- and long-term</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ind w:right="160"/>
        <w:spacing w:after="0" w:line="271" w:lineRule="auto"/>
        <w:rPr>
          <w:sz w:val="20"/>
          <w:szCs w:val="20"/>
          <w:color w:val="auto"/>
        </w:rPr>
      </w:pPr>
      <w:r>
        <w:rPr>
          <w:rFonts w:ascii="Arial" w:cs="Arial" w:eastAsia="Arial" w:hAnsi="Arial"/>
          <w:sz w:val="18"/>
          <w:szCs w:val="18"/>
          <w:color w:val="auto"/>
        </w:rPr>
        <w:t>Treasury yields increased and bond prices eased as Fed rate cut expectations for 2024 continued to wane. The 10-year U.S. Treasury note yield increased from 4.20% to 4.36% during the quarter.</w:t>
      </w:r>
    </w:p>
    <w:p>
      <w:pPr>
        <w:spacing w:after="0" w:line="18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the U.S. investment-grade bond universe, sector performance was mostly positive. Asset-backed securities and non-agency commercial mortgage-backed securities performed best. Treasuries and mortgage-backed securities rose marginally, while corporate bonds edged lower. Tax-free municipal bonds performed mostly in line with the broad taxable bond market. High yield corporate bonds outperformed investment-grade issues.</w:t>
      </w:r>
    </w:p>
    <w:p>
      <w:pPr>
        <w:spacing w:after="0" w:line="201"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Bonds in developed non-U.S. markets produced negative returns in U.S. dollar terms. In Europe, official short-term interest rates in England were unchanged, while the European Central Bank reduced its key policy rate by 25 basis points in early June. However, bond yields in</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several European countries rose late in the quarter amid political uncertainty in France. In Japan, short-term rates were unchanged, and the yen fell 6% versus the dollar to 38-year lows by the end of June, while the 10-year Japanese government bond yield rose above 1.00% for the first time in more than a decade. In the emerging markets universe, dollar-denominated bonds were flat, but they outperformed local currency bonds in dollar terms, as most developing markets currencies depreciated versus the U.S. dollar.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6/30/2024</w:t>
            </w:r>
          </w:p>
        </w:tc>
      </w:tr>
      <w:tr>
        <w:trPr>
          <w:trHeight w:val="224"/>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(0.7)%</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1.4%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3.6%</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(0.4)%</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(2.1)%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(5.3)%</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2.5%</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1.1%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2.6%</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Suisse Leveraged Loan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Assets under management ended the second quarter of 2024 at $1,569.1 billion, an increase of $26.9 billion from March 31, 2024. The increase in assets under management during the second quarter of 2024 was driven by market appreciation and income, net of distributions not reinvested, of $30.6 billion, offset by net cash outflows of $3.7 billion.</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six months ended June 30, 2024, the increase in assets under management was driven by market appreciation, net of distributions not reinvested, of $136.3 billion, offset by net cash outflows of $11.7 billion.</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detail changes in our assets under management, by asset class, during the three- and six-month periods ended June 30, 2024:</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6/30/2024</w:t>
            </w: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40" w:type="dxa"/>
            <w:vAlign w:val="bottom"/>
            <w:tcBorders>
              <w:bottom w:val="single" w:sz="8" w:color="auto"/>
            </w:tcBorders>
            <w:gridSpan w:val="6"/>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Six months ended 6/30/2024</w:t>
            </w: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8"/>
              </w:rPr>
              <w:t>Fixed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Multi-</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including</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Multi-</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160" w:type="dxa"/>
            <w:vAlign w:val="bottom"/>
          </w:tcPr>
          <w:p>
            <w:pPr>
              <w:spacing w:after="0"/>
              <w:rPr>
                <w:sz w:val="12"/>
                <w:szCs w:val="12"/>
                <w:color w:val="auto"/>
              </w:rPr>
            </w:pPr>
          </w:p>
        </w:tc>
        <w:tc>
          <w:tcPr>
            <w:tcW w:w="7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money</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6"/>
                <w:szCs w:val="16"/>
                <w:color w:val="auto"/>
              </w:rPr>
            </w:pPr>
          </w:p>
        </w:tc>
        <w:tc>
          <w:tcPr>
            <w:tcW w:w="80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(1)</w:t>
            </w: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(1)</w:t>
            </w: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6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4"/>
                <w:szCs w:val="14"/>
                <w:color w:val="auto"/>
              </w:rPr>
              <w:t>Assets under</w:t>
            </w: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management at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beginning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1,542.2</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743.6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483.0</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1,444.5</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Net cash flows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prior to manager-</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driven distributions</w:t>
            </w: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20"/>
              <w:spacing w:after="0" w:line="153" w:lineRule="exact"/>
              <w:rPr>
                <w:sz w:val="20"/>
                <w:szCs w:val="20"/>
                <w:color w:val="auto"/>
              </w:rPr>
            </w:pPr>
            <w:r>
              <w:rPr>
                <w:rFonts w:ascii="Arial" w:cs="Arial" w:eastAsia="Arial" w:hAnsi="Arial"/>
                <w:sz w:val="14"/>
                <w:szCs w:val="14"/>
                <w:color w:val="auto"/>
              </w:rPr>
              <w:t>Manager-driven</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5"/>
        </w:trPr>
        <w:tc>
          <w:tcPr>
            <w:tcW w:w="126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flows</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3"/>
        </w:trPr>
        <w:tc>
          <w:tcPr>
            <w:tcW w:w="1260" w:type="dxa"/>
            <w:vAlign w:val="bottom"/>
          </w:tcPr>
          <w:p>
            <w:pPr>
              <w:ind w:left="20"/>
              <w:spacing w:after="0" w:line="153" w:lineRule="exact"/>
              <w:rPr>
                <w:sz w:val="20"/>
                <w:szCs w:val="20"/>
                <w:color w:val="auto"/>
              </w:rPr>
            </w:pPr>
            <w:r>
              <w:rPr>
                <w:rFonts w:ascii="Arial" w:cs="Arial" w:eastAsia="Arial" w:hAnsi="Arial"/>
                <w:sz w:val="14"/>
                <w:szCs w:val="14"/>
                <w:color w:val="auto"/>
              </w:rPr>
              <w:t>Net market</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20"/>
              <w:spacing w:after="0" w:line="145" w:lineRule="exact"/>
              <w:rPr>
                <w:sz w:val="20"/>
                <w:szCs w:val="20"/>
                <w:color w:val="auto"/>
              </w:rPr>
            </w:pPr>
            <w:r>
              <w:rPr>
                <w:rFonts w:ascii="Arial" w:cs="Arial" w:eastAsia="Arial" w:hAnsi="Arial"/>
                <w:sz w:val="14"/>
                <w:szCs w:val="14"/>
                <w:color w:val="auto"/>
              </w:rPr>
              <w:t>appreciation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60" w:type="dxa"/>
            <w:vAlign w:val="bottom"/>
          </w:tcPr>
          <w:p>
            <w:pPr>
              <w:ind w:left="20"/>
              <w:spacing w:after="0" w:line="137" w:lineRule="exact"/>
              <w:rPr>
                <w:sz w:val="20"/>
                <w:szCs w:val="20"/>
                <w:color w:val="auto"/>
              </w:rPr>
            </w:pPr>
            <w:r>
              <w:rPr>
                <w:rFonts w:ascii="Arial" w:cs="Arial" w:eastAsia="Arial" w:hAnsi="Arial"/>
                <w:sz w:val="14"/>
                <w:szCs w:val="14"/>
                <w:color w:val="auto"/>
              </w:rPr>
              <w:t>(depreciation) and</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01"/>
        </w:trPr>
        <w:tc>
          <w:tcPr>
            <w:tcW w:w="126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4"/>
                <w:szCs w:val="14"/>
                <w:color w:val="auto"/>
              </w:rPr>
              <w:t>income</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2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Change during the</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46.1</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185"/>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60" w:type="dxa"/>
            <w:vAlign w:val="bottom"/>
          </w:tcPr>
          <w:p>
            <w:pPr>
              <w:ind w:left="20"/>
              <w:spacing w:after="0" w:line="133" w:lineRule="exact"/>
              <w:rPr>
                <w:sz w:val="20"/>
                <w:szCs w:val="20"/>
                <w:color w:val="auto"/>
              </w:rPr>
            </w:pPr>
            <w:r>
              <w:rPr>
                <w:rFonts w:ascii="Arial" w:cs="Arial" w:eastAsia="Arial" w:hAnsi="Arial"/>
                <w:sz w:val="14"/>
                <w:szCs w:val="14"/>
                <w:color w:val="auto"/>
              </w:rPr>
              <w:t>Assets under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20"/>
              <w:spacing w:after="0" w:line="145" w:lineRule="exact"/>
              <w:rPr>
                <w:sz w:val="20"/>
                <w:szCs w:val="20"/>
                <w:color w:val="auto"/>
              </w:rPr>
            </w:pPr>
            <w:r>
              <w:rPr>
                <w:rFonts w:ascii="Arial" w:cs="Arial" w:eastAsia="Arial" w:hAnsi="Arial"/>
                <w:sz w:val="14"/>
                <w:szCs w:val="14"/>
                <w:color w:val="auto"/>
              </w:rPr>
              <w:t>management at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529.1</w:t>
            </w:r>
          </w:p>
        </w:tc>
        <w:tc>
          <w:tcPr>
            <w:tcW w:w="100" w:type="dxa"/>
            <w:vAlign w:val="bottom"/>
          </w:tcPr>
          <w:p>
            <w:pPr>
              <w:spacing w:after="0"/>
              <w:rPr>
                <w:sz w:val="12"/>
                <w:szCs w:val="12"/>
                <w:color w:val="auto"/>
              </w:rPr>
            </w:pPr>
          </w:p>
        </w:tc>
        <w:tc>
          <w:tcPr>
            <w:tcW w:w="700" w:type="dxa"/>
            <w:vAlign w:val="bottom"/>
            <w:vMerge w:val="restart"/>
          </w:tcPr>
          <w:p>
            <w:pPr>
              <w:jc w:val="right"/>
              <w:ind w:right="548"/>
              <w:spacing w:after="0"/>
              <w:rPr>
                <w:sz w:val="20"/>
                <w:szCs w:val="20"/>
                <w:color w:val="auto"/>
              </w:rPr>
            </w:pPr>
            <w:r>
              <w:rPr>
                <w:rFonts w:ascii="Arial" w:cs="Arial" w:eastAsia="Arial" w:hAnsi="Arial"/>
                <w:sz w:val="14"/>
                <w:szCs w:val="14"/>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1,569.1</w:t>
            </w:r>
          </w:p>
        </w:tc>
        <w:tc>
          <w:tcPr>
            <w:tcW w:w="120" w:type="dxa"/>
            <w:vAlign w:val="bottom"/>
            <w:tcBorders>
              <w:right w:val="single" w:sz="8" w:color="auto"/>
            </w:tcBorders>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179.9</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529.1</w:t>
            </w:r>
          </w:p>
        </w:tc>
        <w:tc>
          <w:tcPr>
            <w:tcW w:w="80" w:type="dxa"/>
            <w:vAlign w:val="bottom"/>
          </w:tcPr>
          <w:p>
            <w:pPr>
              <w:spacing w:after="0"/>
              <w:rPr>
                <w:sz w:val="12"/>
                <w:szCs w:val="12"/>
                <w:color w:val="auto"/>
              </w:rPr>
            </w:pPr>
          </w:p>
        </w:tc>
        <w:tc>
          <w:tcPr>
            <w:tcW w:w="660" w:type="dxa"/>
            <w:vAlign w:val="bottom"/>
            <w:vMerge w:val="restart"/>
          </w:tcPr>
          <w:p>
            <w:pPr>
              <w:jc w:val="right"/>
              <w:ind w:right="48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1,569.1</w:t>
            </w:r>
          </w:p>
        </w:tc>
        <w:tc>
          <w:tcPr>
            <w:tcW w:w="0" w:type="dxa"/>
            <w:vAlign w:val="bottom"/>
          </w:tcPr>
          <w:p>
            <w:pPr>
              <w:spacing w:after="0"/>
              <w:rPr>
                <w:sz w:val="1"/>
                <w:szCs w:val="1"/>
                <w:color w:val="auto"/>
              </w:rPr>
            </w:pPr>
          </w:p>
        </w:tc>
      </w:tr>
      <w:tr>
        <w:trPr>
          <w:trHeight w:val="167"/>
        </w:trPr>
        <w:tc>
          <w:tcPr>
            <w:tcW w:w="1260" w:type="dxa"/>
            <w:vAlign w:val="bottom"/>
          </w:tcPr>
          <w:p>
            <w:pPr>
              <w:ind w:left="20"/>
              <w:spacing w:after="0"/>
              <w:rPr>
                <w:sz w:val="20"/>
                <w:szCs w:val="20"/>
                <w:color w:val="auto"/>
              </w:rPr>
            </w:pPr>
            <w:r>
              <w:rPr>
                <w:rFonts w:ascii="Arial" w:cs="Arial" w:eastAsia="Arial" w:hAnsi="Arial"/>
                <w:sz w:val="14"/>
                <w:szCs w:val="14"/>
                <w:color w:val="auto"/>
              </w:rPr>
              <w:t>June 30, 2024</w:t>
            </w:r>
          </w:p>
        </w:tc>
        <w:tc>
          <w:tcPr>
            <w:tcW w:w="1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1" w:lineRule="exact"/>
        <w:rPr>
          <w:rFonts w:ascii="Arial" w:cs="Arial" w:eastAsia="Arial" w:hAnsi="Arial"/>
          <w:sz w:val="16"/>
          <w:szCs w:val="16"/>
          <w:i w:val="1"/>
          <w:iCs w:val="1"/>
          <w:color w:val="auto"/>
          <w:vertAlign w:val="superscript"/>
        </w:rPr>
      </w:pPr>
    </w:p>
    <w:p>
      <w:pPr>
        <w:ind w:left="180" w:right="40" w:hanging="172"/>
        <w:spacing w:after="0" w:line="241" w:lineRule="auto"/>
        <w:tabs>
          <w:tab w:leader="none" w:pos="157" w:val="left"/>
        </w:tabs>
        <w:numPr>
          <w:ilvl w:val="0"/>
          <w:numId w:val="7"/>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were $11.3 billion at June 30, 2024, $12.0 billion at March 31, 2024, and $11.6 billion at December 31, 2023, and are not reflected in fee basis AUM above.</w:t>
      </w:r>
    </w:p>
    <w:p>
      <w:pPr>
        <w:ind w:left="140" w:hanging="132"/>
        <w:spacing w:after="0" w:line="228" w:lineRule="auto"/>
        <w:tabs>
          <w:tab w:leader="none" w:pos="1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three- and six-month periods ended June 30, 2024 of $0.7 billion and $0.9 billion, respectively.</w:t>
      </w:r>
    </w:p>
    <w:p>
      <w:pPr>
        <w:spacing w:after="0" w:line="23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Investment advisory clients outside the United States account for 8.6% of our assets under management at June 30, 2024, 8.5% at March 31, 2024, and 8.6% at December 31, 2023.</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Assets under management in our target date retirement products, which are included in the multi-asset totals shown above, were $452.6 billion at June 30, 2024, $ 443.0 billion at March 31, 2024, and $408.4 billion at December 31, 2023. Net flows into these portfolios were $3.7 billion and $10.5 billion in the three- and six-month periods ended June 30, 2024.</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provide strategic investment advice solutions for certain portfolios. These advice solutions, primarily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June 30, 2024, total assets in these solutions were $549 billion, of which $534 billion are included in our reported assets under management in the tables above.</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provide participant accounting and plan administration for retirement plans that invest in the firm's U.S. mutual funds, collective investment trusts and funds outside of the firm's complex. As of June 30, 2024, our assets under administration were $273 billion, of which nearly $157 billion are assets we manage.</w:t>
      </w:r>
    </w:p>
    <w:p>
      <w:pPr>
        <w:sectPr>
          <w:pgSz w:w="11900" w:h="16838" w:orient="portrait"/>
          <w:cols w:equalWidth="0" w:num="1">
            <w:col w:w="11160"/>
          </w:cols>
          <w:pgMar w:left="320" w:top="88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8" w:right="4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June 30, 2024. Past performance is no guarantee of future results.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w w:val="99"/>
              </w:rPr>
              <w:t>% of U.S. funds that outperformed Morningstar median</w:t>
            </w:r>
            <w:r>
              <w:rPr>
                <w:rFonts w:ascii="Arial" w:cs="Arial" w:eastAsia="Arial" w:hAnsi="Arial"/>
                <w:sz w:val="21"/>
                <w:szCs w:val="21"/>
                <w:b w:val="1"/>
                <w:bCs w:val="1"/>
                <w:color w:val="auto"/>
                <w:w w:val="99"/>
                <w:vertAlign w:val="superscript"/>
              </w:rPr>
              <w:t>(2),(3)</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61%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69%</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66%</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70%</w:t>
            </w:r>
          </w:p>
        </w:tc>
      </w:tr>
      <w:tr>
        <w:trPr>
          <w:trHeight w:val="109"/>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w w:val="98"/>
              </w:rPr>
              <w:t>% of U.S. funds that outperformed passive peer median</w:t>
            </w:r>
            <w:r>
              <w:rPr>
                <w:rFonts w:ascii="Arial" w:cs="Arial" w:eastAsia="Arial" w:hAnsi="Arial"/>
                <w:sz w:val="21"/>
                <w:szCs w:val="21"/>
                <w:b w:val="1"/>
                <w:bCs w:val="1"/>
                <w:color w:val="auto"/>
                <w:w w:val="98"/>
                <w:vertAlign w:val="superscript"/>
              </w:rPr>
              <w:t>(2),(4)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58%</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64%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92%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58%</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61%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66%</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61%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r>
      <w:tr>
        <w:trPr>
          <w:trHeight w:val="149"/>
        </w:trPr>
        <w:tc>
          <w:tcPr>
            <w:tcW w:w="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35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5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82%</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82%</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93%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78%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72%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83%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78%</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62%</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42%</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53%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24" w:name="page25"/>
    <w:bookmarkEnd w:id="24"/>
    <w:p>
      <w:pPr>
        <w:ind w:right="60"/>
        <w:spacing w:after="0" w:line="237" w:lineRule="auto"/>
        <w:rPr>
          <w:sz w:val="20"/>
          <w:szCs w:val="20"/>
          <w:color w:val="auto"/>
        </w:rPr>
      </w:pPr>
      <w:r>
        <w:rPr>
          <w:rFonts w:ascii="Arial" w:cs="Arial" w:eastAsia="Arial" w:hAnsi="Arial"/>
          <w:sz w:val="18"/>
          <w:szCs w:val="18"/>
          <w:color w:val="auto"/>
        </w:rPr>
        <w:t>As of June 30, 2024, 65 of 130 (50.0%)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65%</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June 30, 2024 with an overall rating of 4 or 5 stars.</w:t>
      </w:r>
    </w:p>
    <w:p>
      <w:pPr>
        <w:spacing w:after="0" w:line="22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ETFs and composites AUM and not of OHA’s products.</w:t>
      </w:r>
    </w:p>
    <w:p>
      <w:pPr>
        <w:ind w:firstLine="8"/>
        <w:spacing w:after="0" w:line="342"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Source: © 2024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60" w:firstLine="8"/>
        <w:spacing w:after="0" w:line="231" w:lineRule="auto"/>
        <w:tabs>
          <w:tab w:leader="none" w:pos="154"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AUM included for this analysis includes $326B for 1 year, $323B for 3 years, $323B for 5 years, and $322B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32" w:lineRule="auto"/>
        <w:tabs>
          <w:tab w:leader="none" w:pos="154"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$309B for 1 year, $306B for 3 years, $269B for 5 years, and $261B for 10 years.</w:t>
      </w:r>
    </w:p>
    <w:p>
      <w:pPr>
        <w:spacing w:after="0" w:line="2" w:lineRule="exact"/>
        <w:rPr>
          <w:rFonts w:ascii="Arial" w:cs="Arial" w:eastAsia="Arial" w:hAnsi="Arial"/>
          <w:sz w:val="17"/>
          <w:szCs w:val="17"/>
          <w:i w:val="1"/>
          <w:iCs w:val="1"/>
          <w:color w:val="auto"/>
          <w:vertAlign w:val="superscript"/>
        </w:rPr>
      </w:pPr>
    </w:p>
    <w:p>
      <w:pPr>
        <w:ind w:right="180"/>
        <w:spacing w:after="0" w:line="211" w:lineRule="auto"/>
        <w:rPr>
          <w:rFonts w:ascii="Arial" w:cs="Arial" w:eastAsia="Arial" w:hAnsi="Arial"/>
          <w:sz w:val="17"/>
          <w:szCs w:val="17"/>
          <w:i w:val="1"/>
          <w:iCs w:val="1"/>
          <w:color w:val="auto"/>
          <w:vertAlign w:val="superscript"/>
        </w:rPr>
      </w:pPr>
      <w:r>
        <w:rPr>
          <w:rFonts w:ascii="Arial" w:cs="Arial" w:eastAsia="Arial" w:hAnsi="Arial"/>
          <w:sz w:val="18"/>
          <w:szCs w:val="18"/>
          <w:i w:val="1"/>
          <w:iCs w:val="1"/>
          <w:color w:val="auto"/>
          <w:vertAlign w:val="superscript"/>
        </w:rPr>
        <w:t>(5)</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with the official GIPS composite primary benchmark. The top 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$1,401B for 1 year, $1,396B for 3 years, $1,389B for 5 years, and $1,340B for 10 years.</w:t>
      </w:r>
    </w:p>
    <w:p>
      <w:pPr>
        <w:ind w:right="100" w:firstLine="8"/>
        <w:spacing w:after="0" w:line="237" w:lineRule="auto"/>
        <w:tabs>
          <w:tab w:leader="none" w:pos="154"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six-month periods ended June 30, 2024 and 2023 on a U.S. GAAP basis and a non-GAAP basis. The non-GAAP basis adjusts for the impact of our consolidated sponsored investment products, the impact of market movements on the supplemental savings plan liability and related economic hedge, investment income related to certain other investments, acquisition-related amortization and costs, impairment charges, and certain nonrecurring charges and gains.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Q2 2024 vs. Q2 2023</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2024 vs. YTD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28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2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10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3,139.6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2,822.6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317.0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Capital allocation-based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4"/>
                <w:szCs w:val="14"/>
                <w:color w:val="auto"/>
              </w:rPr>
            </w:pPr>
          </w:p>
        </w:tc>
        <w:tc>
          <w:tcPr>
            <w:tcW w:w="1280" w:type="dxa"/>
            <w:vAlign w:val="bottom"/>
            <w:tcBorders>
              <w:right w:val="single" w:sz="8" w:color="auto"/>
            </w:tcBorders>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line="216"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(2)</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Net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1,733.3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3,483.5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3,147.8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335.7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1,151.3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1,017.7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133.6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ind w:left="8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4"/>
          </w:tcPr>
          <w:p>
            <w:pPr>
              <w:spacing w:after="0" w:line="162" w:lineRule="exact"/>
              <w:rPr>
                <w:sz w:val="20"/>
                <w:szCs w:val="20"/>
                <w:color w:val="auto"/>
              </w:rPr>
            </w:pPr>
            <w:r>
              <w:rPr>
                <w:rFonts w:ascii="Arial" w:cs="Arial" w:eastAsia="Arial" w:hAnsi="Arial"/>
                <w:sz w:val="16"/>
                <w:szCs w:val="16"/>
                <w:color w:val="auto"/>
              </w:rPr>
              <w:t>Net income attributable to 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1,057.2</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897.9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Rowe Price</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4"/>
          </w:tcPr>
          <w:p>
            <w:pPr>
              <w:spacing w:after="0" w:line="162" w:lineRule="exact"/>
              <w:rPr>
                <w:sz w:val="20"/>
                <w:szCs w:val="20"/>
                <w:color w:val="auto"/>
              </w:rPr>
            </w:pPr>
            <w:r>
              <w:rPr>
                <w:rFonts w:ascii="Arial" w:cs="Arial" w:eastAsia="Arial" w:hAnsi="Arial"/>
                <w:sz w:val="16"/>
                <w:szCs w:val="16"/>
                <w:color w:val="auto"/>
              </w:rPr>
              <w:t>Weighted average common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4"/>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dilution</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gridSpan w:val="4"/>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(3)</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1,347.3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4"/>
          </w:tcPr>
          <w:p>
            <w:pPr>
              <w:spacing w:after="0" w:line="162" w:lineRule="exact"/>
              <w:rPr>
                <w:sz w:val="20"/>
                <w:szCs w:val="20"/>
                <w:color w:val="auto"/>
              </w:rPr>
            </w:pPr>
            <w:r>
              <w:rPr>
                <w:rFonts w:ascii="Arial" w:cs="Arial" w:eastAsia="Arial" w:hAnsi="Arial"/>
                <w:sz w:val="16"/>
                <w:szCs w:val="16"/>
                <w:color w:val="auto"/>
              </w:rPr>
              <w:t>Net income attributable to 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519.7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466.5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1,068.2</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Rowe Price</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share</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0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2080" w:type="dxa"/>
            <w:vAlign w:val="bottom"/>
            <w:tcBorders>
              <w:top w:val="single" w:sz="8" w:color="auto"/>
            </w:tcBorders>
            <w:gridSpan w:val="3"/>
          </w:tcPr>
          <w:p>
            <w:pPr>
              <w:spacing w:after="0" w:line="162" w:lineRule="exact"/>
              <w:rPr>
                <w:sz w:val="20"/>
                <w:szCs w:val="20"/>
                <w:color w:val="auto"/>
              </w:rPr>
            </w:pPr>
            <w:r>
              <w:rPr>
                <w:rFonts w:ascii="Arial" w:cs="Arial" w:eastAsia="Arial" w:hAnsi="Arial"/>
                <w:sz w:val="16"/>
                <w:szCs w:val="16"/>
                <w:color w:val="auto"/>
              </w:rPr>
              <w:t>Average assets under</w:t>
            </w:r>
          </w:p>
        </w:tc>
        <w:tc>
          <w:tcPr>
            <w:tcW w:w="2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1,534.0</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1,357.4</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top w:val="single" w:sz="8" w:color="CCEEFF"/>
              <w:right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1,509.2</w:t>
            </w: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1,340.2</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color w:val="auto"/>
              </w:rPr>
              <w:t>management</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60" w:type="dxa"/>
            <w:vAlign w:val="bottom"/>
            <w:gridSpan w:val="4"/>
            <w:shd w:val="clear" w:color="auto" w:fill="CCEEFF"/>
          </w:tcPr>
          <w:p>
            <w:pPr>
              <w:spacing w:after="0" w:line="163" w:lineRule="exact"/>
              <w:rPr>
                <w:sz w:val="20"/>
                <w:szCs w:val="20"/>
                <w:color w:val="auto"/>
              </w:rPr>
            </w:pPr>
            <w:r>
              <w:rPr>
                <w:rFonts w:ascii="Arial" w:cs="Arial" w:eastAsia="Arial" w:hAnsi="Arial"/>
                <w:sz w:val="16"/>
                <w:szCs w:val="16"/>
                <w:color w:val="auto"/>
              </w:rPr>
              <w:t>Ending assets under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1,569.1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1,399.4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1,569.1</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1,399.4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management</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40" w:hanging="132"/>
        <w:spacing w:after="0" w:line="228"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Capital allocation-based income represents the change in accrued carried interest.</w:t>
      </w:r>
    </w:p>
    <w:p>
      <w:pPr>
        <w:ind w:left="140" w:hanging="132"/>
        <w:spacing w:after="0" w:line="229"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June 30, 2024</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 -based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90% of our net revenues are related to investment advisory fees. Total net revenues were $1,733.3 million in the second quarter of 2024, a 7.6% increase compared with $1,610.2 million in the second quarter of 2023. The increase was primarily driven by an 10.8% increase in investment advisory fee revenue as higher overall markets increased average assets under management by 13.0%, partially offset by a $38.6 million decrease in capital allocation-based income (change in accrued carried interest) earned from investments in certain affiliated funds.</w:t>
      </w:r>
    </w:p>
    <w:p>
      <w:pPr>
        <w:spacing w:after="0" w:line="20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8"/>
          <w:szCs w:val="18"/>
          <w:color w:val="auto"/>
        </w:rPr>
        <w:t>same period generally fluctuates in a similar manner. Our annualized effective fee rates can be impacted by market or cash flow related shifts among asset classes, and products, including those with tiered-fee structures, along with price changes we make in existing products.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as of the end of the period, regardless of whether the funds’ underlying investments have been realized.</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$1,168.6 million in the second quarter of 2024, a 8.5% increase over the comparable 2023</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a non-GAAP basis, operating expenses were $1,105.8 million, a 7.8% increase over the comparable 2023 period.</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comparison to the second quarter of 2023, the increases in U.S. GAAP and non-GAAP operating expenses were primarily driven by higher compensation and related benefits, including the interim bonus accrual, along with higher distribution and servicing costs and advertising and promotion costs. The U.S. GAAP operating expense increase was also impacted by intangible amortization and impairments and the remeasurement of contingent consideration liability.</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2024 was 32.6% on a U.S. GAAP basis, compared to 33.1% earned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2023. The decrease in our U.S. GAAP operating margin for the second quarter of 2024 compared to the 2023 period was driven by operating expense growth outpacing net revenue growth primarily due to acquisition-related amortization and impairments along with changes in the supplemental savings plan liability.</w:t>
      </w:r>
    </w:p>
    <w:p>
      <w:pPr>
        <w:spacing w:after="0" w:line="20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$2.11 for the second quarter of 2024 compared to $2.06 for the second quarter of 2023.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higher operating income offset slightly by lower non-operating income compared to the 2023 period.</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On a non-GAAP basis, diluted earnings per share was $2.26 for the second quarter of 2024 as compared to $2.02 for the second quarter of 2023. The increase was primarily due to higher adjusted operating income compared to the 2023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June 30, 2024</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90% of our net revenues for the six months ended June 30, 2024 are related to investment advisory fees. Total net revenues were $3,483.5 million in the six months ended June 30, 2024, a 10.7% increase compared with $3,147.8 million in the 2023 period. The increase was primarily driven by a 11.2% increase in investment advisory fee revenue as average assets under management increased by 12.6%.</w:t>
      </w: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$2,332.2 million in the six months ended June 30, 2024 compared with $2,130.1 million in the 2023 period.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basis, our operating expenses for the six months ended June 30, 2024 increased 6.3% to $2,177.2 million compared to the 2023 period.</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comparison to the six months ended June 30, 2023, more than a third of the increase in U.S. GAAP operating expenses was driven by the remeasurement of the contingent consideration liability, as the 2023 period reflected a $72.8 million reduction in the liability compared to no change in the 2024 period. Also contributing to the increase in U.S. GAAP operating expenses and the primary drivers of non-GAAP operating expenses were higher compensation and related benefits, including the interim bonus accrual; salaries and benefits along with distribution and servicing costs, and advertising and promotion costs.</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six months ended June 30, 2024 was 33.1%, compared to 32.3% earned in the 2023 period. The increase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for the six months ended June 30, 2024 compared to the 2023 period was primarily driven by net revenue growth outpacing operating expense growth.</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$4.60 for the six months ended June 30, 2024 compared to $3.89 for the six months ended June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The 18.3% increase was driven by higher operating income, a lower effective tax rate, and higher net investment gains in the six months ended June 30, 2024, as compared to the comparable 2023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ind w:right="120"/>
        <w:spacing w:after="0" w:line="287" w:lineRule="auto"/>
        <w:rPr>
          <w:sz w:val="20"/>
          <w:szCs w:val="20"/>
          <w:color w:val="auto"/>
        </w:rPr>
      </w:pPr>
      <w:r>
        <w:rPr>
          <w:rFonts w:ascii="Arial" w:cs="Arial" w:eastAsia="Arial" w:hAnsi="Arial"/>
          <w:sz w:val="18"/>
          <w:szCs w:val="18"/>
          <w:color w:val="auto"/>
        </w:rPr>
        <w:t>On a non-GAAP basis, adjusted diluted earnings per share was $ 4.64 for the six months ended June 30, 2024 as compared to $3.71 for the 2023 period. The 25.1% increase was driven by higher operating income and a lower effective tax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3"/>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Q2 2024 vs. Q2 2023</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1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YTD 2024 vs. YTD 2023</w:t>
            </w: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6/30/2023</w:t>
            </w:r>
          </w:p>
        </w:tc>
        <w:tc>
          <w:tcPr>
            <w:tcW w:w="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4"/>
                <w:szCs w:val="14"/>
                <w:b w:val="1"/>
                <w:bCs w:val="1"/>
                <w:color w:val="auto"/>
              </w:rPr>
              <w:t>6/30/2023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862.3</w:t>
            </w:r>
          </w:p>
        </w:tc>
        <w:tc>
          <w:tcPr>
            <w:tcW w:w="8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86.6</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1,898.5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1,696.2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7"/>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53.5</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97.2</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75"/>
        </w:trPr>
        <w:tc>
          <w:tcPr>
            <w:tcW w:w="2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Capital allocation-based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Change in accrued carried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4"/>
                <w:szCs w:val="14"/>
                <w:color w:val="auto"/>
              </w:rPr>
            </w:pPr>
          </w:p>
        </w:tc>
        <w:tc>
          <w:tcPr>
            <w:tcW w:w="1300" w:type="dxa"/>
            <w:vAlign w:val="bottom"/>
            <w:tcBorders>
              <w:right w:val="single" w:sz="8" w:color="auto"/>
            </w:tcBorders>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40"/>
              <w:spacing w:after="0" w:line="162" w:lineRule="exact"/>
              <w:rPr>
                <w:sz w:val="20"/>
                <w:szCs w:val="20"/>
                <w:color w:val="auto"/>
              </w:rPr>
            </w:pPr>
            <w:r>
              <w:rPr>
                <w:rFonts w:ascii="Arial" w:cs="Arial" w:eastAsia="Arial" w:hAnsi="Arial"/>
                <w:sz w:val="16"/>
                <w:szCs w:val="16"/>
                <w:color w:val="auto"/>
              </w:rPr>
              <w:t>Acquisition-related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4"/>
                <w:szCs w:val="14"/>
                <w:color w:val="auto"/>
              </w:rPr>
            </w:pPr>
          </w:p>
        </w:tc>
        <w:tc>
          <w:tcPr>
            <w:tcW w:w="1300" w:type="dxa"/>
            <w:vAlign w:val="bottom"/>
            <w:tcBorders>
              <w:right w:val="single" w:sz="8" w:color="auto"/>
            </w:tcBorders>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amortization and impairments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7"/>
              </w:rPr>
              <w:t>n/m</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75"/>
        </w:trPr>
        <w:tc>
          <w:tcPr>
            <w:tcW w:w="2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Administrative, distribution,</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and servicing fees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Administrative fees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35"/>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3,147.8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335.7</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Average assets under</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b w:val="1"/>
                <w:bCs w:val="1"/>
                <w:color w:val="auto"/>
              </w:rPr>
              <w:t>management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703.4</w:t>
            </w:r>
          </w:p>
        </w:tc>
        <w:tc>
          <w:tcPr>
            <w:tcW w:w="8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87.0</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695.2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85.2</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17"/>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238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77.9</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17"/>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142"/>
        </w:trPr>
        <w:tc>
          <w:tcPr>
            <w:tcW w:w="238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Average assets under</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1,534.0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1,357.4</w:t>
            </w:r>
          </w:p>
        </w:tc>
        <w:tc>
          <w:tcPr>
            <w:tcW w:w="80" w:type="dxa"/>
            <w:vAlign w:val="bottom"/>
          </w:tcPr>
          <w:p>
            <w:pPr>
              <w:spacing w:after="0"/>
              <w:rPr>
                <w:sz w:val="12"/>
                <w:szCs w:val="12"/>
                <w:color w:val="auto"/>
              </w:rPr>
            </w:pPr>
          </w:p>
        </w:tc>
        <w:tc>
          <w:tcPr>
            <w:tcW w:w="2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176.6</w:t>
            </w:r>
          </w:p>
        </w:tc>
        <w:tc>
          <w:tcPr>
            <w:tcW w:w="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1,509.2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1,340.2</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169.0</w:t>
            </w:r>
          </w:p>
        </w:tc>
        <w:tc>
          <w:tcPr>
            <w:tcW w:w="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management</w:t>
            </w: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Investment advisory</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annualized effective fee rate</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(bps)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right="160"/>
        <w:spacing w:after="0" w:line="262"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2024 increased 10.8% over the comparable 2023 quarter as average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increased $ 176.6 billion or 13.0%, to $1,534.0 billion. For the six months ended June 30, 2024, investment advisory revenues increased 11.2% over the comparable 2023 period as average assets under management increased $169.0 billion, or 12.6%, to $1,509.2 billion.</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average annualized effective fee rate earned for the three- and six-month periods ended June 30, 2024 declined from the comparable 2023 periods due to client flows and transfers creating a mix shift in assets under management toward lower fee products and asset classes. The 2024 year-to-date annualized effective fee rate was also favorably impacted by about 0.3 basis points in higher performance based fees within equity and alternative products compared to the 2023 year-to-date period.</w:t>
      </w:r>
    </w:p>
    <w:p>
      <w:pPr>
        <w:spacing w:after="0" w:line="20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2024 increased net revenues by $0.1 million compared to an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$38.7 million in the 2023 period. For the six months ended June 30, 2024, capital allocation-based income increased net revenues by $47.2 million compared to $55.6 million for the 2023 period. The change in accrued carried interest in the second quarter of</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2024 declined $24.0 million compared to the 2023 period due to lower overall market returns and relative performance. For the six months ended June 30, 2024, the change in accrued carried interest increased $6.3 million compared to the 2023 period due to higher overall market returns and relative performance.</w:t>
      </w:r>
    </w:p>
    <w:p>
      <w:pPr>
        <w:spacing w:after="0" w:line="20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is recognized in compensation and related costs with the unpaid amount reported as non-controlling interest on the consolidated balance sheet.</w:t>
      </w:r>
    </w:p>
    <w:p>
      <w:pPr>
        <w:spacing w:after="0" w:line="19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second quarter of 2024 were $147.6 million, an increase of $6.9 million, or 4.9%,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2023 quarter. For the six months ended June 30, 2024, these fees were $296.7 million, an increase of $27.1 million, or</w:t>
      </w:r>
    </w:p>
    <w:p>
      <w:pPr>
        <w:spacing w:after="0" w:line="2" w:lineRule="exact"/>
        <w:rPr>
          <w:sz w:val="20"/>
          <w:szCs w:val="20"/>
          <w:color w:val="auto"/>
        </w:rPr>
      </w:pPr>
    </w:p>
    <w:p>
      <w:pPr>
        <w:jc w:val="both"/>
        <w:ind w:right="100"/>
        <w:spacing w:after="0" w:line="296" w:lineRule="auto"/>
        <w:rPr>
          <w:sz w:val="20"/>
          <w:szCs w:val="20"/>
          <w:color w:val="auto"/>
        </w:rPr>
      </w:pPr>
      <w:r>
        <w:rPr>
          <w:rFonts w:ascii="Arial" w:cs="Arial" w:eastAsia="Arial" w:hAnsi="Arial"/>
          <w:sz w:val="17"/>
          <w:szCs w:val="17"/>
          <w:color w:val="auto"/>
        </w:rPr>
        <w:t>10.1%, from the 2023 period. The increases for both periods were primarily due to higher retail transfer agent servicing activities provided to the T. Rowe Price mutual funds and higher average assets on which we earn administrative revenue for non-discretionary advisory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sponsored investment products. The corresponding expenses recognized by these products, and consolidated in our financial statements, were also eliminated from operating expenses. For the second quarter, we eliminated net revenue of $0.5 million in 2024 and $0.3 million in 2023. For the six months ended June 30, we eliminated net revenue of $1.7 million in 2024 and $0.9 million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Q2 2024 vs. Q2 2023</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YTD 2024 vs. YTD 2023</w:t>
            </w: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00"/>
              <w:spacing w:after="0"/>
              <w:rPr>
                <w:sz w:val="20"/>
                <w:szCs w:val="20"/>
                <w:color w:val="auto"/>
              </w:rPr>
            </w:pPr>
            <w:r>
              <w:rPr>
                <w:rFonts w:ascii="Arial" w:cs="Arial" w:eastAsia="Arial" w:hAnsi="Arial"/>
                <w:sz w:val="14"/>
                <w:szCs w:val="14"/>
                <w:b w:val="1"/>
                <w:bCs w:val="1"/>
                <w:color w:val="auto"/>
              </w:rPr>
              <w:t>6/30/2024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6/30/2023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80" w:type="dxa"/>
            <w:vAlign w:val="bottom"/>
          </w:tcPr>
          <w:p>
            <w:pPr>
              <w:jc w:val="right"/>
              <w:ind w:right="12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Compensation, benefits and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635.8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1,265.1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1,184.3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retention</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2380" w:type="dxa"/>
            <w:vAlign w:val="bottom"/>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Capital allocation-based income</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4"/>
                <w:szCs w:val="14"/>
                <w:color w:val="auto"/>
              </w:rPr>
            </w:pPr>
          </w:p>
        </w:tc>
        <w:tc>
          <w:tcPr>
            <w:tcW w:w="1280" w:type="dxa"/>
            <w:vAlign w:val="bottom"/>
            <w:tcBorders>
              <w:right w:val="single" w:sz="8" w:color="auto"/>
            </w:tcBorders>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line="216"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280" w:type="dxa"/>
            <w:vAlign w:val="bottom"/>
            <w:tcBorders>
              <w:right w:val="single" w:sz="8" w:color="auto"/>
            </w:tcBorders>
            <w:gridSpan w:val="2"/>
          </w:tcPr>
          <w:p>
            <w:pPr>
              <w:ind w:left="88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Total compensation and</w:t>
            </w: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661.1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1,370.1</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1,301.7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17"/>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Product and recordkeeping</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238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Technology, occupancy, and</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facility costs</w:t>
            </w: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General, administrative, and</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238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Change in fair value of</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 amortization</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35.2 %</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and impairment costs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1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$ 635.8 million in the second quarter of 2024, an increase of $44.8 million, or 7.6%,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2023 quarter. For the six months ended June 30, 2024, these costs were $1,265.1 million, an increase of $80.8 million, or 6.8%, compared to the 2023 period. The increase in both periods were primarily due to a higher interim bonus accrual, and higher salaries and related benefits, as base salary modestly increased in January 2024. These increases were partially offset by higher labor capitalization compared to the 2023 periods.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firm employed 7,929 associates at June 30, 2024, an increase of 0.3% from the end of 2023 and June 30, 2023.</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$87.7 million for the second quarter of 2024, an increase of $ 19.9 million, or 29.5%, from $ 67.8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2023 quarter. For the six months ended June 30, 2024, these costs were $169.7 million, an increase of 21.8% over $139.3 million recognized in the comparable 2023 period. The increases in both periods were primarily driven by higher average assets under management distributed through intermediaries.</w:t>
      </w:r>
    </w:p>
    <w:p>
      <w:pPr>
        <w:spacing w:after="0" w:line="20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costs in this expense category primarily include amounts paid to third-party intermediaries that source the assets of certain share classes of our U.S. mutual funds, ETFs and our international products, such as our Japanese ITMs and SICAVs. These costs were offset entirely by the distribution revenue we earn and report in net revenues: 12b-1 revenue is recognized in administrative, distribution, and servicing fees for the Advisor and R share classes of the U.S. mutual funds and investment advisory fee revenue for our international products.</w:t>
      </w:r>
    </w:p>
    <w:p>
      <w:pPr>
        <w:spacing w:after="0" w:line="206"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$33.3 million in the second quarter of 2024, an increase of $ 10.4 million, or 45.4%,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$22.9 million recognized in the 2023 quarter. For the six months ended June 30, 2024, these costs were $58.6 million, an increase of $9.9 million, or 20.3%, compared to the 2023 period. The increases for both periods were primarily driven by higher media spend and increased investment in our brand.</w:t>
      </w:r>
    </w:p>
    <w:p>
      <w:pPr>
        <w:spacing w:after="0" w:line="20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$160.7 million in the second quarter of 2024, an increase of $6.2 million, or 4.0%,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$154.7 million recognized in the 2023 quarter. For the six months ended June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30, 2024, these costs were $310.8 million, an increase of $9.5 million, or 3.2%, compared with the 2023 period. The increases in both periods were primarily related to higher costs from the firm's ongoing investment in its technology capabilities, including hosted solution licenses and depreciation. These increases were partially offset by lower office facility costs related to double rent incurred in the 2023 period until we occupied our new UK facility in the second half of 2023, and a non-recurring cost benefit related to the UK facility in the first quarter of 2024.</w:t>
      </w:r>
    </w:p>
    <w:p>
      <w:pPr>
        <w:spacing w:after="0" w:line="2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$108.7 million in the second quarter of 2024, an increase of $8.7 million, or 8.7%,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$100.0 million recognized in the 2023 quarter. The increase was primarily due to higher professional fees and travel and entertainment. These increases were partially offset by lower research fee expense as the firm changed its approach to paying for research, consistent with regulations and general industry practice.</w:t>
      </w:r>
    </w:p>
    <w:p>
      <w:pPr>
        <w:spacing w:after="0" w:line="20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six months ended June 30, 2024, these costs were $201.3 million, a decrease of $6.2 million, or 3.0%, compared with the 2023 period. The decrease was primarily due to lower research fee expense as the firm changed its approach to paying for research, consistent with regulations and general industry practice. This decrease was partially offset by higher professional fees and information services.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Change in fair value of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contingent consideration represents the earnout arrangement related to our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OHA in which additional purchase price may be due upon satisfying or exceeding certain defined revenue targets. Every reporting period, we record the potential amount due under this arrangement at fair value. In 2024, there was no change in the fair value of the contingent consideration liability. In the three- and six-month periods ended June 30, 2023, we recognized reductions in the fair value of the contingent consideration liability of $23.2 million and $72.8 million, respectively. Challenging market conditions have reduced revenue expectations used in the fair value determinations.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purchase accounting for our acquisitions, we identified and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fair value certain intangible assets. During the three- and six-month periods ended June 30, 2024, we recognized $43.9 million and $73.8 million, respectively, in amortization and impairments related to the definite and indefinite-lived intangible assets. In the second quarter of 2024, we also recognized impairments charges totaling $18.0 million on definite and indefinite-lived intangible assets. During the three- and six-month periods ended June 30, 2023, we recognized $28.6 million and $ 54.6 million, respectively, in amortization. No impairment costs were recognized during the 2023 periods. Should conditions that led us to recognize the impairment charges deteriorate, additional impairments may be recognized in future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Non-operating income for the second quarter of 2024 was $80.3 million compared to $106.2 million in the 2023 quarter. The following table details the components of non-operating income for both the three- and six-month periods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1" w:name="page32"/>
    <w:bookmarkEnd w:id="31"/>
    <w:tbl>
      <w:tblPr>
        <w:tblLayout w:type="fixed"/>
        <w:tblInd w:w="40" w:type="dxa"/>
        <w:tblCellMar>
          <w:top w:w="0" w:type="dxa"/>
          <w:left w:w="0" w:type="dxa"/>
          <w:bottom w:w="0" w:type="dxa"/>
          <w:right w:w="0" w:type="dxa"/>
        </w:tblCellMar>
      </w:tblPr>
      <w:tr>
        <w:trPr>
          <w:trHeight w:val="203"/>
        </w:trPr>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6/30/2023</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157"/>
        </w:trPr>
        <w:tc>
          <w:tcPr>
            <w:tcW w:w="60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Net gains (losses) from non-consolidated T. Rowe Price investment</w:t>
            </w: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discretionary investments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62.6</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Seed capital investments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6040" w:type="dxa"/>
            <w:vAlign w:val="bottom"/>
          </w:tcPr>
          <w:p>
            <w:pPr>
              <w:ind w:left="220"/>
              <w:spacing w:after="0"/>
              <w:rPr>
                <w:sz w:val="20"/>
                <w:szCs w:val="20"/>
                <w:color w:val="auto"/>
              </w:rPr>
            </w:pPr>
            <w:r>
              <w:rPr>
                <w:rFonts w:ascii="Arial" w:cs="Arial" w:eastAsia="Arial" w:hAnsi="Arial"/>
                <w:sz w:val="18"/>
                <w:szCs w:val="18"/>
                <w:color w:val="auto"/>
              </w:rPr>
              <w:t>Market-related gains (losses) and equity in earnings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156"/>
        </w:trPr>
        <w:tc>
          <w:tcPr>
            <w:tcW w:w="60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net gains (losses) from non-consolidated T. Rowe Price</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165.3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171.3</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investment products</w:t>
            </w:r>
          </w:p>
        </w:tc>
        <w:tc>
          <w:tcPr>
            <w:tcW w:w="2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Net gains (losses) on investments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183.0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(losses) on consolidated sponsored investment products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gains (losses), including foreign currency gains (losses)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241.6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investment gains recognized by our investment portfolio during the three- and six-month periods ended June 30, 2024 and 2023 were primarily due to strong market returns over both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sponsored investment products and not just the net investment income related to our ownership interest in the products. The table below shows the impact that the consolidated sponsored investment products had on the individual lines of our unaudited condensed consolidated statements of income and the portion attributable to our interest: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4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6/30/2024</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6/30/2023</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6/30/2024</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6/30/2023</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95"/>
              </w:rPr>
              <w:t>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95"/>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our interest in the consolidated T. Rowe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center"/>
              <w:ind w:left="535"/>
              <w:spacing w:after="0"/>
              <w:rPr>
                <w:sz w:val="20"/>
                <w:szCs w:val="20"/>
                <w:color w:val="auto"/>
              </w:rPr>
            </w:pPr>
            <w:r>
              <w:rPr>
                <w:rFonts w:ascii="Arial" w:cs="Arial" w:eastAsia="Arial" w:hAnsi="Arial"/>
                <w:sz w:val="18"/>
                <w:szCs w:val="18"/>
                <w:color w:val="auto"/>
                <w:w w:val="95"/>
              </w:rPr>
              <w:t>4.0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 investment products</w:t>
            </w:r>
          </w:p>
        </w:tc>
        <w:tc>
          <w:tcPr>
            <w:tcW w:w="20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non-controlling interests</w:t>
            </w:r>
          </w:p>
        </w:tc>
        <w:tc>
          <w:tcPr>
            <w:tcW w:w="200" w:type="dxa"/>
            <w:vAlign w:val="bottom"/>
          </w:tcPr>
          <w:p>
            <w:pPr>
              <w:spacing w:after="0"/>
              <w:rPr>
                <w:sz w:val="15"/>
                <w:szCs w:val="15"/>
                <w:color w:val="auto"/>
              </w:rPr>
            </w:pPr>
          </w:p>
        </w:tc>
        <w:tc>
          <w:tcPr>
            <w:tcW w:w="1020" w:type="dxa"/>
            <w:vAlign w:val="bottom"/>
            <w:vMerge w:val="restart"/>
          </w:tcPr>
          <w:p>
            <w:pPr>
              <w:jc w:val="center"/>
              <w:ind w:left="535"/>
              <w:spacing w:after="0"/>
              <w:rPr>
                <w:sz w:val="20"/>
                <w:szCs w:val="20"/>
                <w:color w:val="auto"/>
              </w:rPr>
            </w:pPr>
            <w:r>
              <w:rPr>
                <w:rFonts w:ascii="Arial" w:cs="Arial" w:eastAsia="Arial" w:hAnsi="Arial"/>
                <w:sz w:val="18"/>
                <w:szCs w:val="18"/>
                <w:color w:val="auto"/>
                <w:w w:val="95"/>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(unrelated third-party investors)</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95"/>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 GAAP effective tax rate for Q2 2024 and Q2 2023 was 24.8%. These quarterly rates were the result of an overall year-to-date rate of 24.1% for 2024 and 26.7% for 2023. The following table reconciles the statutory federal income tax rate to our effective tax rate on a U.S. GAAP basis for the six months ended June 30, 2024 and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6/30/2024</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6/30/2023</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2.9</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(2)</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including valuation allowances</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non-GAAP effective tax rate primarily adjusts for the impact of the consolidated investment products, including the net income attributable to the redeemable non-controlling interests. Our non-GAAP effective tax rate was 24.6% in the second quarter of 2024 compared with 25.8% in second quarter of 2023. Our non-GAAP effective tax rate was 24.3% for the six months ended June 30, 2024 compared to</w:t>
      </w:r>
    </w:p>
    <w:p>
      <w:pPr>
        <w:jc w:val="both"/>
        <w:ind w:right="220"/>
        <w:spacing w:after="0" w:line="258" w:lineRule="auto"/>
        <w:rPr>
          <w:sz w:val="20"/>
          <w:szCs w:val="20"/>
          <w:color w:val="auto"/>
        </w:rPr>
      </w:pPr>
      <w:r>
        <w:rPr>
          <w:rFonts w:ascii="Arial" w:cs="Arial" w:eastAsia="Arial" w:hAnsi="Arial"/>
          <w:sz w:val="18"/>
          <w:szCs w:val="18"/>
          <w:color w:val="auto"/>
        </w:rPr>
        <w:t>27.9% for the 2023 period. The year-to-date 2024 U.S. GAAP and non-GAAP effective tax rates decreased compared to 2023 rates due to lower valuation allowances recognized. In the first half of 2023, we recognized a full valuation allowance against all UK-based deferred tax assets recorded at the time.</w:t>
      </w:r>
    </w:p>
    <w:p>
      <w:pPr>
        <w:spacing w:after="0" w:line="20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currently estimate that our effective tax rate for the full year 2024, on a U.S. GAAP basis, will be in the range of 23.5% to 26.5%. On a non-GAAP basis, the range is 23.5% to 25.5%</w:t>
      </w:r>
      <w:r>
        <w:rPr>
          <w:rFonts w:ascii="Arial" w:cs="Arial" w:eastAsia="Arial" w:hAnsi="Arial"/>
          <w:sz w:val="17"/>
          <w:szCs w:val="17"/>
          <w:color w:val="auto"/>
        </w:rPr>
        <w:t>.</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the timing of option exercises. The rate also experiences volatility from the remeasurement of the contingent consideration liability, as well as changes in deferred tax asset valuation allowances, primarily in foreign jurisdictions, based on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right="3200"/>
        <w:spacing w:after="0" w:line="287" w:lineRule="auto"/>
        <w:rPr>
          <w:sz w:val="20"/>
          <w:szCs w:val="20"/>
          <w:color w:val="auto"/>
        </w:rPr>
      </w:pPr>
      <w:r>
        <w:rPr>
          <w:rFonts w:ascii="Arial" w:cs="Arial" w:eastAsia="Arial" w:hAnsi="Arial"/>
          <w:sz w:val="18"/>
          <w:szCs w:val="18"/>
          <w:color w:val="auto"/>
        </w:rPr>
        <w:t>The following schedules reconcile certain U.S. GAAP financial measures for the three months ended June 30, 2024 and 2023.</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7"/>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 ended 6/30/2024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(benefit)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expenses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(5)</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 Rowe Price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9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rPr>
              <w:t>1,168.6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564.7</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80.3</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159.7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95"/>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6"/>
                <w:szCs w:val="16"/>
                <w:color w:val="auto"/>
              </w:rPr>
              <w:t>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3"/>
        </w:trPr>
        <w:tc>
          <w:tcPr>
            <w:tcW w:w="100" w:type="dxa"/>
            <w:vAlign w:val="bottom"/>
            <w:shd w:val="clear" w:color="auto" w:fill="CCEEFF"/>
          </w:tcPr>
          <w:p>
            <w:pPr>
              <w:spacing w:after="0"/>
              <w:rPr>
                <w:sz w:val="14"/>
                <w:szCs w:val="14"/>
                <w:color w:val="auto"/>
              </w:rPr>
            </w:pPr>
          </w:p>
        </w:tc>
        <w:tc>
          <w:tcPr>
            <w:tcW w:w="384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6"/>
        </w:trPr>
        <w:tc>
          <w:tcPr>
            <w:tcW w:w="10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9.6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34.3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9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2"/>
        </w:trPr>
        <w:tc>
          <w:tcPr>
            <w:tcW w:w="394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394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center"/>
              <w:ind w:left="288"/>
              <w:spacing w:after="0"/>
              <w:rPr>
                <w:sz w:val="20"/>
                <w:szCs w:val="20"/>
                <w:color w:val="auto"/>
              </w:rPr>
            </w:pPr>
            <w:r>
              <w:rPr>
                <w:rFonts w:ascii="Arial" w:cs="Arial" w:eastAsia="Arial" w:hAnsi="Arial"/>
                <w:sz w:val="14"/>
                <w:szCs w:val="14"/>
                <w:color w:val="auto"/>
              </w:rPr>
              <w:t>1,105.8</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654.9</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169.9</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519.7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8"/>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6/30/2023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11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(benefit) for</w:t>
            </w:r>
          </w:p>
        </w:tc>
        <w:tc>
          <w:tcPr>
            <w:tcW w:w="20" w:type="dxa"/>
            <w:vAlign w:val="bottom"/>
          </w:tcPr>
          <w:p>
            <w:pPr>
              <w:spacing w:after="0"/>
              <w:rPr>
                <w:sz w:val="12"/>
                <w:szCs w:val="12"/>
                <w:color w:val="auto"/>
              </w:rPr>
            </w:pPr>
          </w:p>
        </w:tc>
        <w:tc>
          <w:tcPr>
            <w:tcW w:w="120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8"/>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GAAP Basis (FS line item)</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1,076.7</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476.4</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Non-GAAP adjustments:</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Acquisition-related: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120"/>
              <w:spacing w:after="0" w:line="162" w:lineRule="exact"/>
              <w:rPr>
                <w:sz w:val="20"/>
                <w:szCs w:val="20"/>
                <w:color w:val="auto"/>
              </w:rPr>
            </w:pPr>
            <w:r>
              <w:rPr>
                <w:rFonts w:ascii="Arial" w:cs="Arial" w:eastAsia="Arial" w:hAnsi="Arial"/>
                <w:sz w:val="16"/>
                <w:szCs w:val="16"/>
                <w:color w:val="auto"/>
              </w:rPr>
              <w:t>Investment and NCI amortization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120"/>
              <w:spacing w:after="0" w:line="162" w:lineRule="exact"/>
              <w:rPr>
                <w:sz w:val="20"/>
                <w:szCs w:val="20"/>
                <w:color w:val="auto"/>
              </w:rPr>
            </w:pPr>
            <w:r>
              <w:rPr>
                <w:rFonts w:ascii="Arial" w:cs="Arial" w:eastAsia="Arial" w:hAnsi="Arial"/>
                <w:sz w:val="14"/>
                <w:szCs w:val="14"/>
                <w:color w:val="auto"/>
              </w:rPr>
              <w:t>impairments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(Capital allocation-based 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6"/>
                <w:szCs w:val="16"/>
                <w:color w:val="auto"/>
              </w:rPr>
              <w:t>and Compensation 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84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tcPr>
          <w:p>
            <w:pPr>
              <w:ind w:left="12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42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Total acquisition-related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40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8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w:t>
            </w: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tcPr>
          <w:p>
            <w:pPr>
              <w:spacing w:after="0" w:line="216"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b w:val="1"/>
                <w:bCs w:val="1"/>
                <w:color w:val="auto"/>
              </w:rPr>
              <w:t>Adjusted Non-GAAP Basis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1,026.2</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596.6</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7"/>
                <w:szCs w:val="17"/>
                <w:color w:val="auto"/>
              </w:rPr>
            </w:pPr>
          </w:p>
        </w:tc>
        <w:tc>
          <w:tcPr>
            <w:tcW w:w="1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466.5</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schedules reconcile certain U.S. GAAP financial measures for the six months ended June 30, 2024 and 2023.</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6/30/2024</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98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(benefit) for</w:t>
            </w:r>
          </w:p>
        </w:tc>
        <w:tc>
          <w:tcPr>
            <w:tcW w:w="120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98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(5)</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2,332.2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341.8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9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96"/>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acquisition-related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2"/>
        </w:trPr>
        <w:tc>
          <w:tcPr>
            <w:tcW w:w="422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21"/>
        </w:trPr>
        <w:tc>
          <w:tcPr>
            <w:tcW w:w="4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1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6/30/2023</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98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(benefit) for</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(5)</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 Rowe Price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(6)</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63"/>
        </w:trPr>
        <w:tc>
          <w:tcPr>
            <w:tcW w:w="422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95"/>
        </w:trPr>
        <w:tc>
          <w:tcPr>
            <w:tcW w:w="4200" w:type="dxa"/>
            <w:vAlign w:val="bottom"/>
          </w:tcPr>
          <w:p>
            <w:pPr>
              <w:ind w:left="140"/>
              <w:spacing w:after="0"/>
              <w:rPr>
                <w:sz w:val="20"/>
                <w:szCs w:val="20"/>
                <w:color w:val="auto"/>
              </w:rPr>
            </w:pPr>
            <w:r>
              <w:rPr>
                <w:rFonts w:ascii="Arial" w:cs="Arial" w:eastAsia="Arial" w:hAnsi="Arial"/>
                <w:sz w:val="16"/>
                <w:szCs w:val="16"/>
                <w:color w:val="auto"/>
              </w:rPr>
              <w:t>Total acquisition-related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3"/>
        </w:trPr>
        <w:tc>
          <w:tcPr>
            <w:tcW w:w="42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6"/>
        </w:trPr>
        <w:tc>
          <w:tcPr>
            <w:tcW w:w="42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2,048.7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1,124.6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331.3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855.9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160" w:hanging="332"/>
        <w:spacing w:after="0" w:line="241" w:lineRule="auto"/>
        <w:tabs>
          <w:tab w:leader="none" w:pos="341"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intangible assets and acquired assets amortization and impairments, contingent consideration liability fair value remeasurements, amortization and impairments of acquired investments and non-controlling interest basis differences, and amortization of compensation-related arrangements. Management believes adjusting for these charges helps the reader's ability to understand our core operating results and to increase comparability period to period.</w:t>
      </w:r>
    </w:p>
    <w:p>
      <w:pPr>
        <w:spacing w:after="0" w:line="231" w:lineRule="exact"/>
        <w:rPr>
          <w:rFonts w:ascii="Arial" w:cs="Arial" w:eastAsia="Arial" w:hAnsi="Arial"/>
          <w:sz w:val="22"/>
          <w:szCs w:val="22"/>
          <w:color w:val="auto"/>
          <w:vertAlign w:val="superscript"/>
        </w:rPr>
      </w:pPr>
    </w:p>
    <w:p>
      <w:pPr>
        <w:ind w:left="340" w:hanging="332"/>
        <w:spacing w:after="0" w:line="234" w:lineRule="auto"/>
        <w:tabs>
          <w:tab w:leader="none" w:pos="341"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ind w:left="340" w:right="320"/>
        <w:spacing w:after="0" w:line="265" w:lineRule="auto"/>
        <w:rPr>
          <w:sz w:val="20"/>
          <w:szCs w:val="20"/>
          <w:color w:val="auto"/>
        </w:rPr>
      </w:pPr>
      <w:r>
        <w:rPr>
          <w:rFonts w:ascii="Arial" w:cs="Arial" w:eastAsia="Arial" w:hAnsi="Arial"/>
          <w:sz w:val="16"/>
          <w:szCs w:val="16"/>
          <w:color w:val="auto"/>
        </w:rPr>
        <w:t>investments chosen by participants. We use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13" w:lineRule="exact"/>
        <w:rPr>
          <w:sz w:val="20"/>
          <w:szCs w:val="20"/>
          <w:color w:val="auto"/>
        </w:rPr>
      </w:pPr>
    </w:p>
    <w:p>
      <w:pPr>
        <w:ind w:left="340" w:right="100" w:hanging="332"/>
        <w:spacing w:after="0" w:line="243" w:lineRule="auto"/>
        <w:tabs>
          <w:tab w:leader="none" w:pos="34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our core operating results.</w:t>
      </w:r>
    </w:p>
    <w:p>
      <w:pPr>
        <w:spacing w:after="0" w:line="229" w:lineRule="exact"/>
        <w:rPr>
          <w:rFonts w:ascii="Arial" w:cs="Arial" w:eastAsia="Arial" w:hAnsi="Arial"/>
          <w:sz w:val="22"/>
          <w:szCs w:val="22"/>
          <w:color w:val="auto"/>
          <w:vertAlign w:val="superscript"/>
        </w:rPr>
      </w:pPr>
    </w:p>
    <w:p>
      <w:pPr>
        <w:ind w:left="340" w:hanging="332"/>
        <w:spacing w:after="0" w:line="243" w:lineRule="auto"/>
        <w:tabs>
          <w:tab w:leader="none" w:pos="34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our investment portfolio that are not designated as economic hedges of the supplemental savings plan liability, and that are not part of the cash and discretionary investment portfolio. We retain in our non-GAAP measures the investment gains recognized on the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229" w:lineRule="exact"/>
        <w:rPr>
          <w:rFonts w:ascii="Arial" w:cs="Arial" w:eastAsia="Arial" w:hAnsi="Arial"/>
          <w:sz w:val="22"/>
          <w:szCs w:val="22"/>
          <w:color w:val="auto"/>
          <w:vertAlign w:val="superscript"/>
        </w:rPr>
      </w:pPr>
    </w:p>
    <w:p>
      <w:pPr>
        <w:ind w:left="340" w:right="220" w:hanging="332"/>
        <w:spacing w:after="0" w:line="229" w:lineRule="auto"/>
        <w:tabs>
          <w:tab w:leader="none" w:pos="34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24.3% in 2024 and 27.9% in 2023. As such, the non-GAAP effective tax rate for the three months ended June 30, 2024 and 2023 was 24.6% and 25.8%, respectively.</w:t>
      </w:r>
    </w:p>
    <w:p>
      <w:pPr>
        <w:spacing w:after="0" w:line="217" w:lineRule="exact"/>
        <w:rPr>
          <w:rFonts w:ascii="Arial" w:cs="Arial" w:eastAsia="Arial" w:hAnsi="Arial"/>
          <w:sz w:val="22"/>
          <w:szCs w:val="22"/>
          <w:color w:val="auto"/>
          <w:vertAlign w:val="superscript"/>
        </w:rPr>
      </w:pPr>
    </w:p>
    <w:p>
      <w:pPr>
        <w:ind w:left="340" w:right="20" w:hanging="332"/>
        <w:spacing w:after="0" w:line="236" w:lineRule="auto"/>
        <w:tabs>
          <w:tab w:leader="none" w:pos="34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164465</wp:posOffset>
            </wp:positionV>
            <wp:extent cx="705485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p>
      <w:pPr>
        <w:spacing w:after="0" w:line="264"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23495</wp:posOffset>
            </wp:positionV>
            <wp:extent cx="16891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spacing w:after="0" w:line="35" w:lineRule="exact"/>
        <w:rPr>
          <w:sz w:val="20"/>
          <w:szCs w:val="20"/>
          <w:color w:val="auto"/>
        </w:rPr>
      </w:pPr>
    </w:p>
    <w:p>
      <w:pPr>
        <w:ind w:left="6100"/>
        <w:spacing w:after="0"/>
        <w:tabs>
          <w:tab w:leader="none" w:pos="7400" w:val="left"/>
        </w:tabs>
        <w:rPr>
          <w:sz w:val="20"/>
          <w:szCs w:val="20"/>
          <w:color w:val="auto"/>
        </w:rPr>
      </w:pPr>
      <w:r>
        <w:rPr>
          <w:rFonts w:ascii="Arial" w:cs="Arial" w:eastAsia="Arial" w:hAnsi="Arial"/>
          <w:sz w:val="14"/>
          <w:szCs w:val="14"/>
          <w:b w:val="1"/>
          <w:bCs w:val="1"/>
          <w:color w:val="auto"/>
        </w:rPr>
        <w:t>6/30/2024</w:t>
      </w:r>
      <w:r>
        <w:rPr>
          <w:sz w:val="20"/>
          <w:szCs w:val="20"/>
          <w:color w:val="auto"/>
        </w:rPr>
        <w:tab/>
      </w:r>
      <w:r>
        <w:rPr>
          <w:rFonts w:ascii="Arial" w:cs="Arial" w:eastAsia="Arial" w:hAnsi="Arial"/>
          <w:sz w:val="14"/>
          <w:szCs w:val="14"/>
          <w:b w:val="1"/>
          <w:bCs w:val="1"/>
          <w:color w:val="auto"/>
        </w:rPr>
        <w:t>6/30/2023</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23495</wp:posOffset>
            </wp:positionV>
            <wp:extent cx="16973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5"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6/30/2024</w:t>
      </w:r>
      <w:r>
        <w:rPr>
          <w:sz w:val="20"/>
          <w:szCs w:val="20"/>
          <w:color w:val="auto"/>
        </w:rPr>
        <w:tab/>
      </w:r>
      <w:r>
        <w:rPr>
          <w:rFonts w:ascii="Arial" w:cs="Arial" w:eastAsia="Arial" w:hAnsi="Arial"/>
          <w:sz w:val="14"/>
          <w:szCs w:val="14"/>
          <w:b w:val="1"/>
          <w:bCs w:val="1"/>
          <w:color w:val="auto"/>
        </w:rPr>
        <w:t>6/30/2023</w:t>
      </w:r>
    </w:p>
    <w:p>
      <w:pPr>
        <w:spacing w:after="0" w:line="35" w:lineRule="exact"/>
        <w:rPr>
          <w:sz w:val="20"/>
          <w:szCs w:val="20"/>
          <w:color w:val="auto"/>
        </w:rPr>
      </w:pPr>
    </w:p>
    <w:p>
      <w:pPr>
        <w:sectPr>
          <w:pgSz w:w="11900" w:h="16838" w:orient="portrait"/>
          <w:cols w:equalWidth="0" w:num="2">
            <w:col w:w="8460" w:space="720"/>
            <w:col w:w="206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net income attributable to T. Rowe Price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6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80" w:type="dxa"/>
            <w:vAlign w:val="bottom"/>
            <w:gridSpan w:val="3"/>
          </w:tcPr>
          <w:p>
            <w:pPr>
              <w:spacing w:after="0" w:line="176" w:lineRule="exact"/>
              <w:rPr>
                <w:sz w:val="20"/>
                <w:szCs w:val="20"/>
                <w:color w:val="auto"/>
              </w:rPr>
            </w:pPr>
            <w:r>
              <w:rPr>
                <w:rFonts w:ascii="Arial" w:cs="Arial" w:eastAsia="Arial" w:hAnsi="Arial"/>
                <w:sz w:val="18"/>
                <w:szCs w:val="18"/>
                <w:color w:val="auto"/>
              </w:rPr>
              <w:t>Less: adjusted net income allocated to outstanding restricted stock</w:t>
            </w:r>
          </w:p>
        </w:tc>
        <w:tc>
          <w:tcPr>
            <w:tcW w:w="4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66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29.1</w:t>
            </w: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and stock unit holders</w:t>
            </w: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net income allocated to common stockholders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w w:val="98"/>
              </w:rPr>
              <w:t>CAPITAL RESOURCES AND LIQUIDITY.</w:t>
            </w:r>
          </w:p>
        </w:tc>
        <w:tc>
          <w:tcPr>
            <w:tcW w:w="23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380" w:type="dxa"/>
            <w:vAlign w:val="bottom"/>
            <w:tcBorders>
              <w:bottom w:val="single" w:sz="8" w:color="auto"/>
            </w:tcBorders>
            <w:gridSpan w:val="4"/>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Sources of Liquidity</w:t>
            </w:r>
          </w:p>
        </w:tc>
        <w:tc>
          <w:tcPr>
            <w:tcW w:w="40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7700" w:type="dxa"/>
            <w:vAlign w:val="bottom"/>
            <w:gridSpan w:val="8"/>
          </w:tcPr>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5720" w:type="dxa"/>
            <w:vAlign w:val="bottom"/>
            <w:gridSpan w:val="4"/>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 millions)</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w w:val="99"/>
              </w:rPr>
              <w:t>6/30/2024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12/31/2023</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Discretionary investments</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Total cash and discretionary investments</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Redeemable seed capital investments</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Investments used to hedge the supplemental savings plan liability</w:t>
            </w:r>
          </w:p>
        </w:tc>
        <w:tc>
          <w:tcPr>
            <w:tcW w:w="4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7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cash and investments in T. Rowe Price products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Our subsidiaries outside the United States held cash and discretionary investments of $680.6 million at June 30, 2024 and $699.0 million at December 31, 2023. Given the availability of our financial resources and cash expected to be generated through future operations, we do not maintain an available external source of additional liquidity.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6" w:name="page37"/>
    <w:bookmarkEnd w:id="36"/>
    <w:p>
      <w:pPr>
        <w:ind w:right="42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60325</wp:posOffset>
            </wp:positionV>
            <wp:extent cx="7037705" cy="497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97205"/>
                    </a:xfrm>
                    <a:prstGeom prst="rect">
                      <a:avLst/>
                    </a:prstGeom>
                    <a:noFill/>
                  </pic:spPr>
                </pic:pic>
              </a:graphicData>
            </a:graphic>
          </wp:anchor>
        </w:drawing>
      </w:r>
    </w:p>
    <w:p>
      <w:pPr>
        <w:spacing w:after="0" w:line="67"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Net assets of</w:t>
      </w:r>
    </w:p>
    <w:p>
      <w:pPr>
        <w:jc w:val="center"/>
        <w:ind w:left="7120"/>
        <w:spacing w:after="0" w:line="221" w:lineRule="auto"/>
        <w:rPr>
          <w:sz w:val="20"/>
          <w:szCs w:val="20"/>
          <w:color w:val="auto"/>
        </w:rPr>
      </w:pPr>
      <w:r>
        <w:rPr>
          <w:rFonts w:ascii="Arial" w:cs="Arial" w:eastAsia="Arial" w:hAnsi="Arial"/>
          <w:sz w:val="14"/>
          <w:szCs w:val="14"/>
          <w:b w:val="1"/>
          <w:bCs w:val="1"/>
          <w:color w:val="auto"/>
        </w:rPr>
        <w:t>consolidated T.</w:t>
      </w:r>
    </w:p>
    <w:p>
      <w:pPr>
        <w:ind w:left="8820"/>
        <w:spacing w:after="0" w:line="221" w:lineRule="auto"/>
        <w:rPr>
          <w:sz w:val="20"/>
          <w:szCs w:val="20"/>
          <w:color w:val="auto"/>
        </w:rPr>
      </w:pPr>
      <w:r>
        <w:rPr>
          <w:rFonts w:ascii="Arial" w:cs="Arial" w:eastAsia="Arial" w:hAnsi="Arial"/>
          <w:sz w:val="14"/>
          <w:szCs w:val="14"/>
          <w:b w:val="1"/>
          <w:bCs w:val="1"/>
          <w:color w:val="auto"/>
        </w:rPr>
        <w:t>Rowe Price</w:t>
      </w:r>
    </w:p>
    <w:tbl>
      <w:tblPr>
        <w:tblLayout w:type="fixed"/>
        <w:tblInd w:w="80" w:type="dxa"/>
        <w:tblCellMar>
          <w:top w:w="0" w:type="dxa"/>
          <w:left w:w="0" w:type="dxa"/>
          <w:bottom w:w="0" w:type="dxa"/>
          <w:right w:w="0" w:type="dxa"/>
        </w:tblCellMar>
      </w:tblPr>
      <w:tr>
        <w:trPr>
          <w:trHeight w:val="144"/>
        </w:trPr>
        <w:tc>
          <w:tcPr>
            <w:tcW w:w="5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2"/>
                <w:szCs w:val="12"/>
                <w:color w:val="auto"/>
              </w:rPr>
            </w:pPr>
          </w:p>
        </w:tc>
        <w:tc>
          <w:tcPr>
            <w:tcW w:w="134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investment</w:t>
            </w:r>
          </w:p>
        </w:tc>
        <w:tc>
          <w:tcPr>
            <w:tcW w:w="24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3,184.6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1,576.1</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5,466.5</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w:t>
            </w: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6,649.3</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156"/>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condensed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2,758.9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1,864.5</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7,338.3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2024</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180" w:hanging="172"/>
        <w:spacing w:after="0" w:line="266" w:lineRule="auto"/>
        <w:tabs>
          <w:tab w:leader="none" w:pos="158"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ETFs, and funds regulated outside the U.S. The $1,175.5 million represents the total value at June 30, 2024 of our interest in the consolidated T. Rowe Price investment products. The total net assets of the T. Rowe Price investment products at June 30, 2024 of $1,864.5 million includes assets of $1,929.6 million, less liabilities of $65.1 million as reflected in our unaudited condensed consolidated balance sheets.</w:t>
      </w:r>
    </w:p>
    <w:p>
      <w:pPr>
        <w:ind w:left="180" w:hanging="172"/>
        <w:spacing w:after="0" w:line="213" w:lineRule="auto"/>
        <w:tabs>
          <w:tab w:leader="none" w:pos="172"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$205.3 million of non-controlling interests in consolidated entities and represents the portion of these investments, held by related parties, that we cannot sell in order to obtain cash for general operations.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sponsored investment products we consolidate, as well as redeemable non-controlling 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generally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2024 by 1.6% to $1.24 per common share from $ 1.22 per common share. Further, we expended $192.4 million in the first half of 2024 to repurchase 1.7 million shares of our outstanding common stock, at an average price of $114.23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Since the end of 2021, we have returned nearly $4.1 billion to stockholders through stock repurchases and regular quarterly dividends,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161"/>
        </w:trPr>
        <w:tc>
          <w:tcPr>
            <w:tcW w:w="6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65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Six months ended 6/30/2024</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2024 to be about $475 million of which approximately 50.0% is planned for technology initiatives with the remaining primarily related to the build out of our new Baltimore headquarters.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8"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summarizes the cash flows for the six months ended June 30, 2024 and 2023, that are attributable to T. Rowe Price, our consolidated sponsored investment products, and the related eliminations required in preparing the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7"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112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00"/>
              <w:spacing w:after="0" w:line="139" w:lineRule="exact"/>
              <w:rPr>
                <w:sz w:val="20"/>
                <w:szCs w:val="20"/>
                <w:color w:val="auto"/>
              </w:rPr>
            </w:pPr>
            <w:r>
              <w:rPr>
                <w:rFonts w:ascii="Arial" w:cs="Arial" w:eastAsia="Arial" w:hAnsi="Arial"/>
                <w:sz w:val="14"/>
                <w:szCs w:val="14"/>
                <w:b w:val="1"/>
                <w:bCs w:val="1"/>
                <w:color w:val="auto"/>
              </w:rPr>
              <w:t>sponsored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b w:val="1"/>
                <w:bCs w:val="1"/>
                <w:color w:val="auto"/>
              </w:rPr>
              <w:t>sponsored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4"/>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5"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000" w:type="dxa"/>
            <w:vAlign w:val="bottom"/>
            <w:gridSpan w:val="2"/>
            <w:vMerge w:val="continue"/>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1,078.7</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164"/>
        </w:trPr>
        <w:tc>
          <w:tcPr>
            <w:tcW w:w="3820" w:type="dxa"/>
            <w:vAlign w:val="bottom"/>
          </w:tcPr>
          <w:p>
            <w:pPr>
              <w:ind w:left="140"/>
              <w:spacing w:after="0" w:line="164" w:lineRule="exact"/>
              <w:rPr>
                <w:sz w:val="20"/>
                <w:szCs w:val="20"/>
                <w:color w:val="auto"/>
              </w:rPr>
            </w:pPr>
            <w:r>
              <w:rPr>
                <w:rFonts w:ascii="Arial" w:cs="Arial" w:eastAsia="Arial" w:hAnsi="Arial"/>
                <w:sz w:val="18"/>
                <w:szCs w:val="18"/>
                <w:color w:val="auto"/>
              </w:rPr>
              <w:t>Adjustments to reconcile net income (loss) to</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140"/>
              <w:spacing w:after="0" w:line="181"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amortization and impairments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Amortization and impairment of acquisition-</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Fair value remeasurement of contingent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Total non-cash adjustments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redemptions in sponsored investment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color w:val="auto"/>
              </w:rPr>
              <w:t>products used to economically hedge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supplemental savings plan liability</w:t>
            </w: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6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consolidated sponsored investment products</w:t>
            </w:r>
          </w:p>
        </w:tc>
        <w:tc>
          <w:tcPr>
            <w:tcW w:w="16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164"/>
        </w:trPr>
        <w:tc>
          <w:tcPr>
            <w:tcW w:w="3820" w:type="dxa"/>
            <w:vAlign w:val="bottom"/>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1,470.4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1,315.0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1,261.0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(746.4)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(575.5)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(603.4)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(41.6)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cash equivalents of consolidated sponsored</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20" w:type="dxa"/>
            <w:vAlign w:val="bottom"/>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648.3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645.0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during period</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1,874.7</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2,788.8</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2,326.2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attributable to T. Rowe Price Group during the first half of 2024 provided cash flows of $1,470.4 million, an increase of</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$209.4 million from $1,261.0 million during the 2023 period. The increase was primarily driven by a $159.3 million increase in net income and an $89.8 million increase in the add-back for non-cash items. The details of our non-cash adjustments are detailed in the table above. These increases to operating cash flows were offset in part by a $36.4 million decrease in cash flow due to timing differences related to the cash settlement of our assets and liabilities. Additionally, in 2024, proceeds from net redemptions of investments that economically hedge our supplemental savings plan liability decreased $ 3.3 million as compared to the 2023 period.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interim operating cash flows does not include the cash impact of variable compensation that is accrued throughout the year before being substantially paid out in December.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investing activities that were attributable to T. Rowe Price Group totaled $75.7 million in 2024 compared with $163.5 million in 2023. During 2024, net proceeds from the sale of investments of $172.0 million were higher compared to $1.1 million during the 2023 period. In 2024, we increased our property and equipment expenditures by $73.4 million and other investing activity by $9.7 million compared to the 2023 period. We eliminate our capital in those sponsored investment products we consolidate in preparing our consolidated statements of cash flows. The remaining change in reported cash flows from investing activities of $4.7 million is primarily related to the net cash removed from our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used in financing activities attributable to T. Rowe Price Group totaled $746.4 million in 2024 compared with $603.4 million in 2023. During 2024, we used $195.5 million to repurchase 1.7 million shares compared to $45.2 million to repurchase 420 thousand shares in 2023. The $7.3 million increase in dividends paid in 2024 is a result of the 1.6% increase in our quarterly dividend per share in 2024. In addition, cash flow related to common stock issued under stock compensation plans increased by $4.2 million during 2024 compared to 2023. The remaining change in reported cash flows from financing activities is primarily attributable to a $112.5 million increase in net subscriptions from redeemable non-controlling interest holders of our consolidated investment products during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2023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2023.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exchange rates applicable to the costs of our international operations; expenses and capital costs, such as technology assets, depreciation, amortization, and research and development, incurred to maintain and enhance our administrative and operating services infrastructure; the</w:t>
      </w:r>
    </w:p>
    <w:p>
      <w:pPr>
        <w:spacing w:after="0" w:line="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timing of the assumption of all third party research payments, unanticipated costs that may be incurred to protect investor accounts and the goodwill of our clients; and disruptions of services, including those provided by third parties, such as fund and product recordkeeping,</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facilities, communications, power, and the mutual fund transfer agent and accounting systems, as a result of extreme events, cyberattacks or otherwise.</w:t>
      </w:r>
    </w:p>
    <w:p>
      <w:pPr>
        <w:spacing w:after="0" w:line="19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sponsored investment products and investing in general or in particular classes of mutual funds or other investments.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2024. Based on that evaluation, our principal executive and principal financial officers have concluded that our disclosure controls and procedures as of June 30, 2024,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2024, and has concluded that there was no change during the second quarter of 2024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2024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April</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281,167</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268,400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5,363,483</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May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407,853</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4,955,630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June</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291,211</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4,664,419</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967,464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2024, 20,220 were related to shares surrendered in connection with employee stock option exercises and 2,422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Maximum Number of</w:t>
            </w: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520" w:type="dxa"/>
            <w:vAlign w:val="bottom"/>
            <w:gridSpan w:val="2"/>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88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52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Purchased at 4/1/2024</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6/30/2024</w:t>
            </w:r>
          </w:p>
        </w:tc>
        <w:tc>
          <w:tcPr>
            <w:tcW w:w="0" w:type="dxa"/>
            <w:vAlign w:val="bottom"/>
          </w:tcPr>
          <w:p>
            <w:pPr>
              <w:spacing w:after="0"/>
              <w:rPr>
                <w:sz w:val="1"/>
                <w:szCs w:val="1"/>
                <w:color w:val="auto"/>
              </w:rPr>
            </w:pPr>
          </w:p>
        </w:tc>
      </w:tr>
      <w:tr>
        <w:trPr>
          <w:trHeight w:val="232"/>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March 2020</w:t>
            </w: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5,631,883</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(967,464)</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4,664,419</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31" w:lineRule="exact"/>
        <w:rPr>
          <w:sz w:val="20"/>
          <w:szCs w:val="20"/>
          <w:color w:val="auto"/>
        </w:rPr>
      </w:pPr>
    </w:p>
    <w:p>
      <w:pPr>
        <w:ind w:left="20"/>
        <w:spacing w:after="0"/>
        <w:tabs>
          <w:tab w:leader="none" w:pos="1380" w:val="left"/>
        </w:tabs>
        <w:rPr>
          <w:rFonts w:ascii="Arial" w:cs="Arial" w:eastAsia="Arial" w:hAnsi="Arial"/>
          <w:sz w:val="18"/>
          <w:szCs w:val="18"/>
          <w:color w:val="auto"/>
        </w:rPr>
      </w:pPr>
      <w:r>
        <w:rPr>
          <w:rFonts w:ascii="Arial" w:cs="Arial" w:eastAsia="Arial" w:hAnsi="Arial"/>
          <w:sz w:val="18"/>
          <w:szCs w:val="18"/>
          <w:color w:val="auto"/>
        </w:rPr>
        <w:t>3(i)</w:t>
      </w:r>
      <w:r>
        <w:rPr>
          <w:sz w:val="20"/>
          <w:szCs w:val="20"/>
          <w:color w:val="auto"/>
        </w:rPr>
        <w:tab/>
      </w:r>
      <w:hyperlink r:id="rId58">
        <w:r>
          <w:rPr>
            <w:rFonts w:ascii="Arial" w:cs="Arial" w:eastAsia="Arial" w:hAnsi="Arial"/>
            <w:sz w:val="18"/>
            <w:szCs w:val="18"/>
            <w:color w:val="auto"/>
          </w:rPr>
          <w:t>Charter of T. Rowe Price Group, Inc., as reflected by Articles of Restatement dated June 20, 2018. (Incorporated by</w:t>
        </w:r>
      </w:hyperlink>
    </w:p>
    <w:p>
      <w:pPr>
        <w:ind w:left="1400"/>
        <w:spacing w:after="0"/>
        <w:rPr>
          <w:rFonts w:ascii="Arial" w:cs="Arial" w:eastAsia="Arial" w:hAnsi="Arial"/>
          <w:sz w:val="18"/>
          <w:szCs w:val="18"/>
          <w:color w:val="auto"/>
        </w:rPr>
      </w:pPr>
      <w:hyperlink r:id="rId58">
        <w:r>
          <w:rPr>
            <w:rFonts w:ascii="Arial" w:cs="Arial" w:eastAsia="Arial" w:hAnsi="Arial"/>
            <w:sz w:val="18"/>
            <w:szCs w:val="18"/>
            <w:color w:val="auto"/>
          </w:rPr>
          <w:t>reference from Form 10-Q Quarterly Report filed on July 25, 2018.)</w:t>
        </w:r>
      </w:hyperlink>
    </w:p>
    <w:p>
      <w:pPr>
        <w:spacing w:after="0" w:line="59" w:lineRule="exact"/>
        <w:rPr>
          <w:sz w:val="20"/>
          <w:szCs w:val="20"/>
          <w:color w:val="auto"/>
        </w:rPr>
      </w:pPr>
    </w:p>
    <w:p>
      <w:pPr>
        <w:ind w:left="20"/>
        <w:spacing w:after="0"/>
        <w:tabs>
          <w:tab w:leader="none" w:pos="1380" w:val="left"/>
        </w:tabs>
        <w:rPr>
          <w:rFonts w:ascii="Arial" w:cs="Arial" w:eastAsia="Arial" w:hAnsi="Arial"/>
          <w:sz w:val="18"/>
          <w:szCs w:val="18"/>
          <w:color w:val="auto"/>
        </w:rPr>
      </w:pPr>
      <w:r>
        <w:rPr>
          <w:rFonts w:ascii="Arial" w:cs="Arial" w:eastAsia="Arial" w:hAnsi="Arial"/>
          <w:sz w:val="18"/>
          <w:szCs w:val="18"/>
          <w:color w:val="auto"/>
        </w:rPr>
        <w:t>3(ii)</w:t>
      </w:r>
      <w:r>
        <w:rPr>
          <w:sz w:val="20"/>
          <w:szCs w:val="20"/>
          <w:color w:val="auto"/>
        </w:rPr>
        <w:tab/>
      </w:r>
      <w:hyperlink r:id="rId59">
        <w:r>
          <w:rPr>
            <w:rFonts w:ascii="Arial" w:cs="Arial" w:eastAsia="Arial" w:hAnsi="Arial"/>
            <w:sz w:val="18"/>
            <w:szCs w:val="18"/>
            <w:color w:val="auto"/>
          </w:rPr>
          <w:t>Amended and Restated By-Laws of T. Rowe Price Group, Inc. as of February 9, 2021. (Incorporated by reference from</w:t>
        </w:r>
      </w:hyperlink>
    </w:p>
    <w:p>
      <w:pPr>
        <w:ind w:left="1400"/>
        <w:spacing w:after="0"/>
        <w:rPr>
          <w:rFonts w:ascii="Arial" w:cs="Arial" w:eastAsia="Arial" w:hAnsi="Arial"/>
          <w:sz w:val="18"/>
          <w:szCs w:val="18"/>
          <w:color w:val="auto"/>
        </w:rPr>
      </w:pPr>
      <w:hyperlink r:id="rId59">
        <w:r>
          <w:rPr>
            <w:rFonts w:ascii="Arial" w:cs="Arial" w:eastAsia="Arial" w:hAnsi="Arial"/>
            <w:sz w:val="18"/>
            <w:szCs w:val="18"/>
            <w:color w:val="auto"/>
          </w:rPr>
          <w:t>Form 10-K Annual Report filed on February 11, 2021.)</w:t>
        </w:r>
      </w:hyperlink>
    </w:p>
    <w:p>
      <w:pPr>
        <w:sectPr>
          <w:pgSz w:w="11900" w:h="16838" w:orient="portrait"/>
          <w:cols w:equalWidth="0" w:num="1">
            <w:col w:w="11200"/>
          </w:cols>
          <w:pgMar w:left="320" w:top="890" w:right="379" w:bottom="1440" w:gutter="0" w:footer="0" w:header="0"/>
        </w:sectPr>
      </w:pP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760" w:space="640"/>
            <w:col w:w="9800"/>
          </w:cols>
          <w:pgMar w:left="320" w:top="890"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3" w:name="page44"/>
    <w:bookmarkEnd w:id="4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26,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120"/>
          </w:cols>
          <w:pgMar w:left="320" w:top="890" w:right="459" w:bottom="1440" w:gutter="0" w:footer="0" w:header="0"/>
        </w:sectPr>
      </w:pPr>
    </w:p>
    <w:bookmarkStart w:id="44" w:name="page45"/>
    <w:bookmarkEnd w:id="44"/>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8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890"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July 26,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color w:val="auto"/>
        </w:rPr>
        <w:t>Re: Registration Statements No. 033-7012, No. 333-59714, No. 333-120882, No. 333-120883, No. 333-142092, No. 333-167317, No. 333-180904, No. 333-199560, No. 333-212705 , No. 333-217483, No. 333-238319, and No. 333-273601</w:t>
      </w:r>
      <w:r>
        <w:rPr>
          <w:rFonts w:ascii="Arial" w:cs="Arial" w:eastAsia="Arial" w:hAnsi="Arial"/>
          <w:sz w:val="18"/>
          <w:szCs w:val="18"/>
          <w:b w:val="1"/>
          <w:bCs w:val="1"/>
          <w:color w:val="0E32E1"/>
        </w:rPr>
        <w:t>.</w:t>
      </w:r>
    </w:p>
    <w:p>
      <w:pPr>
        <w:spacing w:after="0" w:line="164"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26, 2024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0" w:right="339" w:bottom="1440" w:gutter="0" w:footer="0" w:header="0"/>
          <w:type w:val="continuous"/>
        </w:sectPr>
      </w:pPr>
    </w:p>
    <w:bookmarkStart w:id="45" w:name="page46"/>
    <w:bookmarkEnd w:id="45"/>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2024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July 26,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6" w:name="page47"/>
    <w:bookmarkEnd w:id="46"/>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June 30, 2024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July 26,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7" w:name="page48"/>
    <w:bookmarkEnd w:id="47"/>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2024, of T. Rowe Price Group, Inc., that:</w:t>
      </w:r>
    </w:p>
    <w:p>
      <w:pPr>
        <w:spacing w:after="0" w:line="31" w:lineRule="exact"/>
        <w:rPr>
          <w:sz w:val="20"/>
          <w:szCs w:val="20"/>
          <w:color w:val="auto"/>
        </w:rPr>
      </w:pPr>
    </w:p>
    <w:p>
      <w:pPr>
        <w:ind w:right="620" w:firstLine="8"/>
        <w:spacing w:after="0" w:line="287"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July 26, 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6"/>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58" Type="http://schemas.openxmlformats.org/officeDocument/2006/relationships/hyperlink" Target="https://www.sec.gov/Archives/edgar/data/1113169/000111316918000018/articlesofrestatementfin.htm" TargetMode="External"/><Relationship Id="rId59"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2024-07-26T10:58:22Z</dcterms:created>
  <dcterms:modified xsi:type="dcterms:W3CDTF">2024-07-26T10:58:22Z</dcterms:modified>
</cp:coreProperties>
</file>