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240"/>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1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97"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114"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460" w:space="720"/>
            <w:col w:w="1400" w:space="720"/>
            <w:col w:w="3380" w:space="460"/>
            <w:col w:w="228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21, 2010, is 259,561,112</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258,534,000 shares in 2009 and 259,423,000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2,240.1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2,882.2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3,006.9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3/31/2009</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306.8</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556.2</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238.7</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153.0</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6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00" w:type="dxa"/>
            <w:vAlign w:val="bottom"/>
            <w:gridSpan w:val="2"/>
          </w:tcPr>
          <w:p>
            <w:pPr>
              <w:jc w:val="right"/>
              <w:ind w:right="3427"/>
              <w:spacing w:after="0"/>
              <w:rPr>
                <w:sz w:val="20"/>
                <w:szCs w:val="20"/>
                <w:color w:val="auto"/>
              </w:rPr>
            </w:pPr>
            <w:r>
              <w:rPr>
                <w:rFonts w:ascii="Arial" w:cs="Arial" w:eastAsia="Arial" w:hAnsi="Arial"/>
                <w:sz w:val="18"/>
                <w:szCs w:val="18"/>
                <w:color w:val="auto"/>
              </w:rPr>
              <w:t>Page 3</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Depreciation and amortization of property and equipment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Intangible asset amortization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changes in assets and liabilities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in UTI Asset Management Company Limited</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Investments in sponsored mutual funds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Dispositions of sponsored mutual funds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Investments in debt securities held by savings bank subsidiary</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debt securities held by savings bank subsidiary</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Additions to property and equipment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investing activity</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 plans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619.1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color w:val="auto"/>
                <w:w w:val="95"/>
              </w:rPr>
              <w:t>Common</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Additional capital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Accumulated 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Total</w:t>
            </w:r>
          </w:p>
        </w:tc>
      </w:tr>
      <w:tr>
        <w:trPr>
          <w:trHeight w:val="149"/>
        </w:trPr>
        <w:tc>
          <w:tcPr>
            <w:tcW w:w="448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shares</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in excess of</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Retained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stockholders’</w:t>
            </w:r>
          </w:p>
        </w:tc>
      </w:tr>
      <w:tr>
        <w:trPr>
          <w:trHeight w:val="167"/>
        </w:trPr>
        <w:tc>
          <w:tcPr>
            <w:tcW w:w="44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140" w:type="dxa"/>
            <w:vAlign w:val="bottom"/>
            <w:gridSpan w:val="2"/>
          </w:tcPr>
          <w:p>
            <w:pPr>
              <w:spacing w:after="0"/>
              <w:rPr>
                <w:sz w:val="14"/>
                <w:szCs w:val="14"/>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8"/>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3"/>
              </w:rPr>
              <w:t>par value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earnings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income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equity</w:t>
            </w:r>
          </w:p>
        </w:tc>
        <w:tc>
          <w:tcPr>
            <w:tcW w:w="100" w:type="dxa"/>
            <w:vAlign w:val="bottom"/>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258,534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Restricted shares issued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on vesting of restricted stock units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Net tax benefits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(666)</w:t>
            </w:r>
          </w:p>
        </w:tc>
        <w:tc>
          <w:tcPr>
            <w:tcW w:w="4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holding gains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Balances at March 31, 2010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259,423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3,006.9</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2009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$130.1 million at December 31, 2009, and $136.9 million at March 31, 2010.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262.8</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325.4</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146.4</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471.8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12/31/2009</w:t>
            </w:r>
          </w:p>
        </w:tc>
        <w:tc>
          <w:tcPr>
            <w:tcW w:w="3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172.7</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12% of our assets under management at March 31, 2010.</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three months of the year were $61.7 million in 2009 and $65.6 million in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color w:val="auto"/>
              </w:rPr>
              <w:t>Unrealized holding</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2009</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March 31, 2010</w:t>
            </w:r>
          </w:p>
        </w:tc>
        <w:tc>
          <w:tcPr>
            <w:tcW w:w="53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3/31/2010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Fair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value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(40 securities in 2010) of</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debt securities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$164.9 million at December 31, 2009, and $163.8 million at March 31, 2010.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740" w:type="dxa"/>
            <w:vAlign w:val="bottom"/>
            <w:gridSpan w:val="3"/>
          </w:tcPr>
          <w:p>
            <w:pPr>
              <w:ind w:left="2060"/>
              <w:spacing w:after="0"/>
              <w:rPr>
                <w:sz w:val="20"/>
                <w:szCs w:val="20"/>
                <w:color w:val="auto"/>
              </w:rPr>
            </w:pPr>
            <w:r>
              <w:rPr>
                <w:rFonts w:ascii="Arial" w:cs="Arial" w:eastAsia="Arial" w:hAnsi="Arial"/>
                <w:sz w:val="14"/>
                <w:szCs w:val="14"/>
                <w:color w:val="auto"/>
                <w:w w:val="94"/>
              </w:rPr>
              <w:t>12/31/2009</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10% interest in Daiwa SB Investments Ltd.(Japan)</w:t>
            </w:r>
          </w:p>
        </w:tc>
        <w:tc>
          <w:tcPr>
            <w:tcW w:w="228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investments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26% interest in UTI Asset Management Company Limited (India)</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INR non-deliverable forward contract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2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from existing stockholders for 6.5 billion Indian rupees (INR) or $142.4 million, plus transaction costs of $3.2 million of which $2.0 million were paid in 2009.</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conjunction with our signing of the definitive UTI purchase agreements in November 2009, we entered into a series of rolling non-deliverable forward contracts to economically hedge the foreign currency exchange rate exposure relating to the UTI acquisition price. We recognized non-operating investment income of $2.2 million in January 2010 in the valuation and settlement of these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31" w:lineRule="exact"/>
        <w:rPr>
          <w:sz w:val="20"/>
          <w:szCs w:val="20"/>
          <w:color w:val="auto"/>
        </w:rPr>
      </w:pPr>
    </w:p>
    <w:p>
      <w:pPr>
        <w:ind w:left="660" w:right="760"/>
        <w:spacing w:after="0" w:line="308"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5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36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There were no transfers in or out of the levels. The following table summarizes our investments (in millions) that are recognized in our balance sheet using fair value measurements determined based on the differing levels of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w w:val="97"/>
              </w:rPr>
              <w:t>Level 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8"/>
              </w:rPr>
              <w:t>December 31, 2009</w:t>
            </w:r>
          </w:p>
        </w:tc>
        <w:tc>
          <w:tcPr>
            <w:tcW w:w="7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ind w:left="200"/>
              <w:spacing w:after="0"/>
              <w:rPr>
                <w:sz w:val="20"/>
                <w:szCs w:val="20"/>
                <w:color w:val="auto"/>
              </w:rPr>
            </w:pPr>
            <w:r>
              <w:rPr>
                <w:rFonts w:ascii="Arial" w:cs="Arial" w:eastAsia="Arial" w:hAnsi="Arial"/>
                <w:sz w:val="18"/>
                <w:szCs w:val="18"/>
                <w:color w:val="auto"/>
              </w:rPr>
              <w:t>Held as available-for-sale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Debt securities held by savings bank subsidiary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INR non-deliverable forward contract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4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March 31, 2010</w:t>
            </w:r>
          </w:p>
        </w:tc>
        <w:tc>
          <w:tcPr>
            <w:tcW w:w="788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687.9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ind w:left="200"/>
              <w:spacing w:after="0"/>
              <w:rPr>
                <w:sz w:val="20"/>
                <w:szCs w:val="20"/>
                <w:color w:val="auto"/>
              </w:rPr>
            </w:pPr>
            <w:r>
              <w:rPr>
                <w:rFonts w:ascii="Arial" w:cs="Arial" w:eastAsia="Arial" w:hAnsi="Arial"/>
                <w:sz w:val="18"/>
                <w:szCs w:val="18"/>
                <w:color w:val="auto"/>
              </w:rPr>
              <w:t>Held as available-for-sale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Debt securities held by savings bank subsidiary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1,392.3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
        </w:trPr>
        <w:tc>
          <w:tcPr>
            <w:tcW w:w="9040" w:type="dxa"/>
            <w:vAlign w:val="bottom"/>
            <w:gridSpan w:val="5"/>
            <w:vMerge w:val="restart"/>
          </w:tcPr>
          <w:p>
            <w:pPr>
              <w:spacing w:after="0"/>
              <w:rPr>
                <w:sz w:val="20"/>
                <w:szCs w:val="20"/>
                <w:color w:val="auto"/>
              </w:rPr>
            </w:pPr>
            <w:r>
              <w:rPr>
                <w:rFonts w:ascii="Arial" w:cs="Arial" w:eastAsia="Arial" w:hAnsi="Arial"/>
                <w:sz w:val="18"/>
                <w:szCs w:val="18"/>
                <w:color w:val="auto"/>
              </w:rPr>
              <w:t>NOTE 7 – STOCK-BASED COMPENSATION.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4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Stock-based grants.</w:t>
            </w:r>
          </w:p>
        </w:tc>
        <w:tc>
          <w:tcPr>
            <w:tcW w:w="76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040" w:type="dxa"/>
            <w:vAlign w:val="bottom"/>
            <w:gridSpan w:val="5"/>
          </w:tcPr>
          <w:p>
            <w:pPr>
              <w:spacing w:after="0"/>
              <w:rPr>
                <w:sz w:val="20"/>
                <w:szCs w:val="20"/>
                <w:color w:val="auto"/>
              </w:rPr>
            </w:pPr>
            <w:r>
              <w:rPr>
                <w:rFonts w:ascii="Arial" w:cs="Arial" w:eastAsia="Arial" w:hAnsi="Arial"/>
                <w:sz w:val="18"/>
                <w:szCs w:val="18"/>
                <w:color w:val="auto"/>
                <w:w w:val="93"/>
              </w:rPr>
              <w:t>The following table summarizes the status of and changes in our stock option grants during the first three months of 2010.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color w:val="auto"/>
                <w:w w:val="91"/>
              </w:rPr>
              <w:t>Options</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39,269,159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Semiannual grants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2,820,750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Reload grants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32,597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5"/>
          </w:tcPr>
          <w:p>
            <w:pPr>
              <w:jc w:val="right"/>
              <w:ind w:right="300"/>
              <w:spacing w:after="0"/>
              <w:rPr>
                <w:sz w:val="20"/>
                <w:szCs w:val="20"/>
                <w:color w:val="auto"/>
              </w:rPr>
            </w:pPr>
            <w:r>
              <w:rPr>
                <w:rFonts w:ascii="Arial" w:cs="Arial" w:eastAsia="Arial" w:hAnsi="Arial"/>
                <w:sz w:val="18"/>
                <w:szCs w:val="18"/>
                <w:color w:val="auto"/>
              </w:rPr>
              <w:t>(1,707,372)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(197,200)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auto"/>
              </w:rPr>
              <w:t>Expired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(27,178)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40,190,756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0"/>
        </w:trPr>
        <w:tc>
          <w:tcPr>
            <w:tcW w:w="9040" w:type="dxa"/>
            <w:vAlign w:val="bottom"/>
            <w:gridSpan w:val="5"/>
            <w:vMerge w:val="restart"/>
          </w:tcPr>
          <w:p>
            <w:pPr>
              <w:spacing w:after="0"/>
              <w:rPr>
                <w:sz w:val="20"/>
                <w:szCs w:val="20"/>
                <w:color w:val="auto"/>
              </w:rPr>
            </w:pPr>
            <w:r>
              <w:rPr>
                <w:rFonts w:ascii="Arial" w:cs="Arial" w:eastAsia="Arial" w:hAnsi="Arial"/>
                <w:sz w:val="18"/>
                <w:szCs w:val="18"/>
                <w:color w:val="auto"/>
              </w:rPr>
              <w:t>Exercisable at end of period</w:t>
            </w: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line="20" w:lineRule="exact"/>
              <w:rPr>
                <w:sz w:val="1"/>
                <w:szCs w:val="1"/>
                <w:color w:val="auto"/>
              </w:rPr>
            </w:pPr>
          </w:p>
        </w:tc>
      </w:tr>
      <w:tr>
        <w:trPr>
          <w:trHeight w:val="210"/>
        </w:trPr>
        <w:tc>
          <w:tcPr>
            <w:tcW w:w="9040" w:type="dxa"/>
            <w:vAlign w:val="bottom"/>
            <w:gridSpan w:val="5"/>
            <w:vMerge w:val="continue"/>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21,714,306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three months of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Restricted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w w:val="98"/>
              </w:rPr>
              <w:t>Restricted</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stock</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w w:val="99"/>
              </w:rPr>
              <w:t>Weighted-average</w:t>
            </w:r>
          </w:p>
        </w:tc>
      </w:t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shares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units</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587,919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310,951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Granted to employees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122,050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64,125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w:t>
            </w: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709,344</w:t>
            </w: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365,326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March 31, 2010.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Third quarter 2010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2012 through 2015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8 – EARNINGS PER SHARE CALCULATIONS.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(in millions) of our net income to net income allocated to our common stockholders and the weighted average shares (in millions) that are used in calculating the basic and the diluted earnings per share on our common stock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2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0</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152.4</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Weighted average common shares outstanding assuming dilution reflects the potential additional dilution, determined using the treasury stock method that could occur if outstanding stock options were exercised. The weighted average common shares outstanding assuming dilution for the first quarter of 2010 excludes the effect of 11.4 million outstanding stock options with an average exercise price of $52.73 that, when taken together with related unrecognized compensation expense, are out-of-the-money.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9 – INVESTMENT GAINS AND OTHER COMPREHENSIVE INCOME.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reconciles our net unrealized holding gains (in millions) for the first three months of 2010 to that recognized in other comprehensive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Investments in</w:t>
            </w:r>
          </w:p>
        </w:tc>
        <w:tc>
          <w:tcPr>
            <w:tcW w:w="28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color w:val="auto"/>
              </w:rPr>
              <w:t>Debt securities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sponsored mutual</w:t>
            </w:r>
          </w:p>
        </w:tc>
        <w:tc>
          <w:tcPr>
            <w:tcW w:w="28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held by savings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funds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bank subsidiary</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Total</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gains realized in non-operating investment income on dispositions</w:t>
            </w: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 before taxes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700" w:type="dxa"/>
            <w:vAlign w:val="bottom"/>
            <w:gridSpan w:val="5"/>
          </w:tcPr>
          <w:p>
            <w:pPr>
              <w:spacing w:after="0"/>
              <w:rPr>
                <w:sz w:val="20"/>
                <w:szCs w:val="20"/>
                <w:color w:val="auto"/>
              </w:rPr>
            </w:pPr>
            <w:r>
              <w:rPr>
                <w:rFonts w:ascii="Arial" w:cs="Arial" w:eastAsia="Arial" w:hAnsi="Arial"/>
                <w:sz w:val="18"/>
                <w:szCs w:val="18"/>
                <w:color w:val="auto"/>
                <w:w w:val="94"/>
              </w:rPr>
              <w:t>The components of accumulated other comprehensive income (in millions) at March 31, 2010, are presented below.</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as of March 31, 2010, the related condensed consolidated statements of income and cash flows for the three- month periods ended March 31, 2009 and 2010, and the related condensed consolidated statement of stockholders’ equity for the three-month period ended March 31, 2010. These condensed consolidated financial statements are the responsibility of the Company’s management.</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2009, and the related consolidated statements of income, cash flows, and stockholders’ equity for the year then ended (not presented herein); and in our report dated February 5, 2010,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12% of our assets under management at March 31, 2010.</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allows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from existing stockholders for 6.5 billion Indian rupees (INR) or $142.4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strong March recovery following the selloff in late January and early February advanced equity markets in the U.S. during the first quarter of 2010. Ongoing investor concerns over the strength and sustainability of the global economic recovery continued to put pressure on markets at times during the quarter. While stronger than expected corporate earnings helped drive the markets higher, economic conditions, including continued weakness in the housing and labor markets, low inflation, and stable inflation expectations led the Federal Reserve to maintain record low interest rates to help boost economic growth. The Federal Reserve kept the target funds rate in the range of 0% to .25% and reassured investors that the exceptionally low levels would likely remain for some time.</w:t>
      </w:r>
    </w:p>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this volatile environment, the major U.S. stock indexes reached their highest levels in about 18 months in the first quarter of 2010. The S&amp;P 500 Index of large-cap companies in leading industries of the U.S. economy returned 5.4%, while the NASDAQ Composite Index, which is heavily weighted with technology companies, was up 5.7% (excluding dividends).</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Though non-U.S equities rose during the first quarter 2010, a stronger U.S. dollar versus other currencies reduced overseas returns in dollar terms. Greece’s weak financial situation and rising interest rates in China and elsewhere weighed heavily on the equity markets of several countries. Emerging markets, led by countries in emerging Europe and the Middle East, continued to outperform developed nations. The MSCI Emerging Markets Index returned 2.5% for the quarter versus ..9% for the MSCI EAFE Index, which measures the performance of mostly large-cap stocks in Europe, Australasia and the Far East.</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yield on the benchmark 10-year U.S. Treasury was 3.84%, virtually unchanged from the rate at the end of 2009 as low demand at the March auction pushed the curve up at the end of the first quarter after dropping 26 basis points from year-end in early February. On the shortest end of the yield curve, the annual yield for one-month treasury bills was .15%, up from .04% at the end of 2009. Returns for other fixed income securities were generally positive, with the higher-yield issues producing the strongest gains. The Credit Suisse High Yield Index gained 4.5% in the first quarter, while the J.P. Morgan Emerging Markets Index Plus gained 3.6%, and the Barclays Capital U.S. Aggregate Index gained 1.8%. The Barclays Capital Global Aggregate Ex-US Dollar Bond Index lost 1.7%, due to a rising dollar against other currencies.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 this financial markets environment, investors entrusted record quarterly net inflows of $10.3 billion to our management during the first quarter of 2010.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under our management totaled a record $419.0 billion at March 31, 2010, up 7.1% from the beginning of the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billions) in 2010 have occurred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color w:val="auto"/>
                <w:w w:val="99"/>
              </w:rPr>
              <w:t>Quarter ended</w:t>
            </w:r>
          </w:p>
        </w:tc>
      </w:tr>
      <w:tr>
        <w:trPr>
          <w:trHeight w:val="167"/>
        </w:trPr>
        <w:tc>
          <w:tcPr>
            <w:tcW w:w="2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3/31/2010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distributed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80" w:type="dxa"/>
            <w:vAlign w:val="bottom"/>
          </w:tcPr>
          <w:p>
            <w:pPr>
              <w:ind w:left="200"/>
              <w:spacing w:after="0"/>
              <w:rPr>
                <w:sz w:val="20"/>
                <w:szCs w:val="20"/>
                <w:color w:val="auto"/>
              </w:rPr>
            </w:pPr>
            <w:r>
              <w:rPr>
                <w:rFonts w:ascii="Arial" w:cs="Arial" w:eastAsia="Arial" w:hAnsi="Arial"/>
                <w:sz w:val="18"/>
                <w:szCs w:val="18"/>
                <w:color w:val="auto"/>
              </w:rPr>
              <w:t>Other investment portfolios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Assets under management at March 31, 2010, include $311.7 billion in stock and blended asset investment portfolios and $107.3 billion in fixed income investment portfolios. The investment portfolios that we manage consist of $249.5 billion in the T. Rowe Price mutual funds distributed in the United States and $169.5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RESULTS OF OPERATIONS -</w:t>
      </w:r>
      <w:r>
        <w:rPr>
          <w:rFonts w:ascii="Arial" w:cs="Arial" w:eastAsia="Arial" w:hAnsi="Arial"/>
          <w:sz w:val="18"/>
          <w:szCs w:val="18"/>
          <w:u w:val="single" w:color="auto"/>
          <w:color w:val="auto"/>
        </w:rPr>
        <w:t>First quarter 2010 versus first quarter 2009.</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Investment advisory revenues increased 53.8%, or $165.0 million, to $471.8 million in the first quarter of 2010 as average assets under our management increased $132.1 billion to $396.9 billion. The average annualized fee rate earned on our assets under management was 48.2 basis points during the first quarter of 2010, up from the 47.0 basis points earned in the first quarter of 2009, and virtually unchanged from the rate earned in the year 2009. The change from the 2009 quarter is a result of higher equity market valuations increasing the percentage of our assets under management being attributable to higher fee equity portfolios. In the first quarter of 2010, we waived certain money market advisory fees totaling $6.8 million in order to maintain a yield above 0% for fund investors, and anticipate that such fee waivers could continue for the remainder of 2010.</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$171.7 million, or 44.7%, to $556.2 million. Operating expenses were up $43.6 million to $317.5 million in the first quarter of 2010,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 15.9% from the comparable 2009 quarter. Overall, net operating income of $238.7 million for the first quarter of 2010 was more than double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$110.6 million earned in the first quarter 2009. The significant market recovery over the last twelve months, which increased our assets under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advisory revenue, resulted in our first quarter 2010 operating margin increasing to 42.9% from 28.8% in the comparable 2009 quarter. Non-operating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 income in the 2010 quarter was $5.3 million, a significant change from the investment losses incurred in the first quarter of 2009 when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$35.6 million in non-cash charges for the other than temporary impairment of certain of the firm’s investments in sponsored mutual funds.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increased $104.8 million from the 2009 quarter to $153.0 million, and diluted earnings per share on our common stock is $.57, an increase of $.38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$.19 earned in the first quarter of 2009.</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53.7%, or $113.7 million, to $325.4 million. Average mutual fund assets under management in the first quarter of 2010 were $237.3 billion, an increase of 50.9% from the average for the 2009 quarter. Mutual fund assets at March 31, 2010 were $249.5 billion, an increase of 7.2% or $16.8 billion from the end of 2009, and $12.2 billion higher than the first quarter 2010 average.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inflows to the mutual funds were $6.1 billion during the first quarter of 2010, including $2.4 billion that originated in our target-date Retirement Funds. Our stock funds had net inflows of $3.4 billion. The Value, Mid-Cap Value, Mid-Cap Growth, and Equity Index 500 funds each added at least $400 million for a total of $2.0 billion in net investments. The New Income Fund accounted for $1.0 billion of the $3.0 billion of net inflows added by our bond funds. Our money market funds had net outflows of $300 million. Higher market valuations and income increased our mutual fund assets under management by $10.7 billion during the first quarter of 2010.</w:t>
      </w:r>
    </w:p>
    <w:p>
      <w:pPr>
        <w:spacing w:after="0" w:line="8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Investment advisory revenues earned on the other investment portfolios that we manage increased $51.3 million, or 53.9%, to $146.4 million. Average assets in these portfolios were $159.6 billion during the first quarter of 2010, an increase of $52.1 billion or 48.5% from the 2009 quarter. Net inflows of</w:t>
      </w:r>
    </w:p>
    <w:p>
      <w:pPr>
        <w:ind w:right="60"/>
        <w:spacing w:after="0" w:line="261" w:lineRule="auto"/>
        <w:rPr>
          <w:sz w:val="20"/>
          <w:szCs w:val="20"/>
          <w:color w:val="auto"/>
        </w:rPr>
      </w:pPr>
      <w:r>
        <w:rPr>
          <w:rFonts w:ascii="Arial" w:cs="Arial" w:eastAsia="Arial" w:hAnsi="Arial"/>
          <w:sz w:val="18"/>
          <w:szCs w:val="18"/>
          <w:color w:val="auto"/>
        </w:rPr>
        <w:t>$4.2 billion, primarily from institutional investors located outside the United States and third-party financial intermediaries, and $6.7 billion in higher market valuations and income increased assets under management in these portfolios by $10.9 billion in the first quarter of 2010.</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Administrative fees increased $6.2 million from the first quarter of 2009 to $83.6 million. This change includes a $4.0 million increase in 12b-1 distribution and service fees recognized on higher assets under management in the Advisor and R classes of our sponsored mutual funds. Changes in administrative fees are generally offset by a similar change in the related operating expenses that are incurred to distribute Advisor and R class fund shares through third party intermediaries and to provide services to the funds and their investors.</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largest expense, compensation and related costs, increased $32.3 million, or 18.4% compared to the first quarter of 2009. The largest part of the increase is attributable to a $28.4 million increase in our annual variable compensation programs, which are based on our operating results and other factors such as our relative risk-adjusted investment performance, our growth in assets under management and net investor inflows, and the high quality of our investor services. Our salaries decreased $4.1 million from the 2009 quarter due to a 9.7% decrease in our average headcount from the comparable quarter, offset by base salary increases effective at the beginning of the year. At March 31, 2010, we employed 4,779 associates. Other employee benefits and related employment expenses account for the remainder of the change.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Advertising and promotion expenditures were up $.8 million, compared to the first quarter of 2009. We currently estimate that our advertising and promotion expenditures for the second quarter of 2010 will be about $10 million more than the comparable 2009 quarter and spending for the full year 2010 could increase up to 30% from 2009. We vary our level of spending based on market conditions and investor demand as well as our efforts to expand our investor base in the United States and abroad.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Occupancy and facility costs together with depreciation and amortization expense were down $1.0 million as we continued to manage infrastructure costs prudently.</w:t>
      </w:r>
    </w:p>
    <w:p>
      <w:pPr>
        <w:spacing w:after="0" w:line="6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Other operating expenses increased $11.5 million, or 34.1% from the comparable 2009 quarter, including an increase of $4.0 million in distribution and service expenses recognized on higher assets under management in our Advisor and R classes of mutual fund shares that are sourced from financial intermediaries. These costs are offset by an equal increase in our administrative revenues recognized from the 12b-1 fees discussed above. The remaining increase is a result of other operating costs, including travel costs, consulting fees and other professional services, incurred to meet increasing business demands.</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non-operating investment activity, which includes interest income as well as the recognition of investment gains and losses, resulted in a net gain of $5.3 million in the first quarter of 2010 versus a net loss of $36.0 million in the comparable 2009 period. This change of $41.3 million is primarily attributable to $35.6 million of other than temporary impairments recognized on our investments in sponsored mutual funds in the first quarter of 2009. The increase also includes $2.2 million in gains recognized in 2010 for the settlement and valuation of a series of non-deliverable forward contracts used to economically hedge the foreign currency exposure associated with the UTI acquisition price. Our equity share in the earnings of UTI from acquisition date to the end of the first quarter 2010 was not significant.</w:t>
      </w:r>
    </w:p>
    <w:p>
      <w:pPr>
        <w:spacing w:after="0" w:line="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first quarter 2010 provision for income taxes as a percentage of pretax income is 37.3%, up slightly from the 37.1% for the year 2009. We presently estimate that our effective tax rate for the full year 2010 will be 37.8%.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Operating activities during the first three months of 2010 provided cash flows of $256.7 million, up $117.3 million from 2009, including a $104.8 million increase in net income and a $49.9 million increase in the addback representing timing differences in the cash settlement of our assets and liabilities. These increases are offset by the impact of $35.6 million in other than temporary impairments of our investments in sponsored mutual funds that were experienced in the first quarter of 2009 and did not reoccur in the 2010 quarter. Our interim operating cash outflows do not include bonus compensation that is accrued throughout the year before being substantially paid out in December.</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cash used in investing activities totaled $174.4 million, up $127.1 million from the 2009 period, primarily from the purchase of a 26% equity interest in UTI for $142.4 million plus related transaction costs incurred in the 2010 period of $1.2 million. In the first quarter of 2009, we made $18.5 million more investments in debt securities held by our savings bank due to the increase in our customer deposits during the same period.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$61.5 million in the first quarter of 2010, down $27.9 million from the 2009 period, including a decrease of</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$18.2 million expended for common stock repurchases. The first quarter of 2010 also saw a $24.2 million increase in the cash proceeds from option exercises due to higher market valuations of our common stock experienced in the 2010 period compared to 2009. Lastly, we had net customer deposits of $17.7 million into our savings bank during the first quarter of 2009 compared with outflows of $1.1 million in the 2010 quarter.</w:t>
      </w:r>
    </w:p>
    <w:p>
      <w:pPr>
        <w:spacing w:after="0" w:line="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and mutual fund investments at March 31, 2010, were nearly $1.5 billion, and we have no debt. Given the availability of these financial resources, we do not maintain an available external source of liquidity. We anticipate property and equipment expenditures for the full year 2010 to be about $150 million and expect to fund them from our cash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2010. Based on that evaluation, our principal executive and principal financial officers have concluded that our disclosure controls and procedures as of March 31, 2010,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2010, and has concluded that there was no change during the first quarter of 2010 that has materially affected, or is reasonably likely to materially affect, our internal control over financial reporting.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ectPr>
          <w:pgSz w:w="11900" w:h="16838" w:orient="portrait"/>
          <w:cols w:equalWidth="0" w:num="1">
            <w:col w:w="11420"/>
          </w:cols>
          <w:pgMar w:left="240" w:top="935"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  Repurchase activity during the first quarter of 2010 conducted pursuant to the Board of Directors’ June 5, 2008, authorization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ind w:left="248"/>
              <w:spacing w:after="0"/>
              <w:rPr>
                <w:sz w:val="20"/>
                <w:szCs w:val="20"/>
                <w:color w:val="auto"/>
              </w:rPr>
            </w:pPr>
            <w:r>
              <w:rPr>
                <w:rFonts w:ascii="Arial" w:cs="Arial" w:eastAsia="Arial" w:hAnsi="Arial"/>
                <w:sz w:val="14"/>
                <w:szCs w:val="14"/>
                <w:color w:val="auto"/>
                <w:w w:val="95"/>
              </w:rPr>
              <w:t>Total Number of</w:t>
            </w:r>
          </w:p>
        </w:tc>
      </w:tr>
      <w:tr>
        <w:trPr>
          <w:trHeight w:val="149"/>
        </w:trPr>
        <w:tc>
          <w:tcPr>
            <w:tcW w:w="3060" w:type="dxa"/>
            <w:vAlign w:val="bottom"/>
          </w:tcPr>
          <w:p>
            <w:pPr>
              <w:spacing w:after="0"/>
              <w:rPr>
                <w:sz w:val="12"/>
                <w:szCs w:val="12"/>
                <w:color w:val="auto"/>
              </w:rPr>
            </w:pPr>
          </w:p>
        </w:tc>
        <w:tc>
          <w:tcPr>
            <w:tcW w:w="3780" w:type="dxa"/>
            <w:vAlign w:val="bottom"/>
          </w:tcPr>
          <w:p>
            <w:pPr>
              <w:jc w:val="center"/>
              <w:ind w:left="2268"/>
              <w:spacing w:after="0" w:line="149" w:lineRule="exact"/>
              <w:rPr>
                <w:sz w:val="20"/>
                <w:szCs w:val="20"/>
                <w:color w:val="auto"/>
              </w:rPr>
            </w:pPr>
            <w:r>
              <w:rPr>
                <w:rFonts w:ascii="Arial" w:cs="Arial" w:eastAsia="Arial" w:hAnsi="Arial"/>
                <w:sz w:val="14"/>
                <w:szCs w:val="14"/>
                <w:color w:val="auto"/>
                <w:w w:val="94"/>
              </w:rPr>
              <w:t>Total Number</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152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6"/>
              </w:rPr>
              <w:t>Shares Purchased as</w:t>
            </w:r>
          </w:p>
        </w:tc>
      </w:tr>
      <w:tr>
        <w:trPr>
          <w:trHeight w:val="149"/>
        </w:trPr>
        <w:tc>
          <w:tcPr>
            <w:tcW w:w="3060" w:type="dxa"/>
            <w:vAlign w:val="bottom"/>
          </w:tcPr>
          <w:p>
            <w:pPr>
              <w:spacing w:after="0"/>
              <w:rPr>
                <w:sz w:val="12"/>
                <w:szCs w:val="12"/>
                <w:color w:val="auto"/>
              </w:rPr>
            </w:pPr>
          </w:p>
        </w:tc>
        <w:tc>
          <w:tcPr>
            <w:tcW w:w="3780" w:type="dxa"/>
            <w:vAlign w:val="bottom"/>
          </w:tcPr>
          <w:p>
            <w:pPr>
              <w:jc w:val="center"/>
              <w:ind w:left="2248"/>
              <w:spacing w:after="0" w:line="149" w:lineRule="exact"/>
              <w:rPr>
                <w:sz w:val="20"/>
                <w:szCs w:val="20"/>
                <w:color w:val="auto"/>
              </w:rPr>
            </w:pPr>
            <w:r>
              <w:rPr>
                <w:rFonts w:ascii="Arial" w:cs="Arial" w:eastAsia="Arial" w:hAnsi="Arial"/>
                <w:sz w:val="14"/>
                <w:szCs w:val="14"/>
                <w:color w:val="auto"/>
                <w:w w:val="90"/>
              </w:rPr>
              <w:t>of Shares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Price Paid</w:t>
            </w:r>
          </w:p>
        </w:tc>
        <w:tc>
          <w:tcPr>
            <w:tcW w:w="15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6"/>
              </w:rPr>
              <w:t>Part of Publicly</w:t>
            </w:r>
          </w:p>
        </w:tc>
      </w:tr>
      <w:tr>
        <w:trPr>
          <w:trHeight w:val="167"/>
        </w:trPr>
        <w:tc>
          <w:tcPr>
            <w:tcW w:w="3060" w:type="dxa"/>
            <w:vAlign w:val="bottom"/>
          </w:tcPr>
          <w:p>
            <w:pPr>
              <w:spacing w:after="0"/>
              <w:rPr>
                <w:sz w:val="20"/>
                <w:szCs w:val="20"/>
                <w:color w:val="auto"/>
              </w:rPr>
            </w:pPr>
            <w:r>
              <w:rPr>
                <w:rFonts w:ascii="Arial" w:cs="Arial" w:eastAsia="Arial" w:hAnsi="Arial"/>
                <w:sz w:val="14"/>
                <w:szCs w:val="14"/>
                <w:color w:val="auto"/>
              </w:rPr>
              <w:t>Month</w:t>
            </w:r>
          </w:p>
        </w:tc>
        <w:tc>
          <w:tcPr>
            <w:tcW w:w="3780" w:type="dxa"/>
            <w:vAlign w:val="bottom"/>
          </w:tcPr>
          <w:p>
            <w:pPr>
              <w:jc w:val="center"/>
              <w:ind w:left="2248"/>
              <w:spacing w:after="0"/>
              <w:rPr>
                <w:sz w:val="20"/>
                <w:szCs w:val="20"/>
                <w:color w:val="auto"/>
              </w:rPr>
            </w:pPr>
            <w:r>
              <w:rPr>
                <w:rFonts w:ascii="Arial" w:cs="Arial" w:eastAsia="Arial" w:hAnsi="Arial"/>
                <w:sz w:val="14"/>
                <w:szCs w:val="14"/>
                <w:color w:val="auto"/>
                <w:w w:val="86"/>
              </w:rPr>
              <w:t>Purchased</w:t>
            </w: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per Share</w:t>
            </w:r>
          </w:p>
        </w:tc>
        <w:tc>
          <w:tcPr>
            <w:tcW w:w="1520" w:type="dxa"/>
            <w:vAlign w:val="bottom"/>
          </w:tcPr>
          <w:p>
            <w:pPr>
              <w:jc w:val="center"/>
              <w:ind w:left="248"/>
              <w:spacing w:after="0"/>
              <w:rPr>
                <w:sz w:val="20"/>
                <w:szCs w:val="20"/>
                <w:color w:val="auto"/>
              </w:rPr>
            </w:pPr>
            <w:r>
              <w:rPr>
                <w:rFonts w:ascii="Arial" w:cs="Arial" w:eastAsia="Arial" w:hAnsi="Arial"/>
                <w:sz w:val="14"/>
                <w:szCs w:val="14"/>
                <w:color w:val="auto"/>
                <w:w w:val="93"/>
              </w:rPr>
              <w:t>Announced Program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Maximum Number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of Shares that May</w:t>
      </w:r>
    </w:p>
    <w:p>
      <w:pPr>
        <w:ind w:left="40"/>
        <w:spacing w:after="0"/>
        <w:rPr>
          <w:sz w:val="20"/>
          <w:szCs w:val="20"/>
          <w:color w:val="auto"/>
        </w:rPr>
      </w:pPr>
      <w:r>
        <w:rPr>
          <w:rFonts w:ascii="Arial" w:cs="Arial" w:eastAsia="Arial" w:hAnsi="Arial"/>
          <w:sz w:val="13"/>
          <w:szCs w:val="13"/>
          <w:color w:val="auto"/>
        </w:rPr>
        <w:t>Yet Be Purchased</w:t>
      </w:r>
    </w:p>
    <w:p>
      <w:pPr>
        <w:spacing w:after="0"/>
        <w:rPr>
          <w:sz w:val="20"/>
          <w:szCs w:val="20"/>
          <w:color w:val="auto"/>
        </w:rPr>
      </w:pPr>
      <w:r>
        <w:rPr>
          <w:rFonts w:ascii="Arial" w:cs="Arial" w:eastAsia="Arial" w:hAnsi="Arial"/>
          <w:sz w:val="12"/>
          <w:szCs w:val="12"/>
          <w:color w:val="auto"/>
        </w:rPr>
        <w:t>Under the Program</w:t>
      </w:r>
    </w:p>
    <w:p>
      <w:pPr>
        <w:spacing w:after="0" w:line="37" w:lineRule="exact"/>
        <w:rPr>
          <w:sz w:val="20"/>
          <w:szCs w:val="20"/>
          <w:color w:val="auto"/>
        </w:rPr>
      </w:pPr>
    </w:p>
    <w:p>
      <w:pPr>
        <w:sectPr>
          <w:pgSz w:w="11900" w:h="16838" w:orient="portrait"/>
          <w:cols w:equalWidth="0" w:num="2">
            <w:col w:w="10000" w:space="220"/>
            <w:col w:w="1200"/>
          </w:cols>
          <w:pgMar w:left="240" w:top="93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January</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8,399</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8"/>
                <w:szCs w:val="18"/>
                <w:color w:val="auto"/>
              </w:rPr>
              <w:t>49.02</w:t>
            </w:r>
          </w:p>
        </w:tc>
        <w:tc>
          <w:tcPr>
            <w:tcW w:w="182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8,399</w:t>
            </w:r>
          </w:p>
        </w:tc>
        <w:tc>
          <w:tcPr>
            <w:tcW w:w="12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12,400,711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February</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657,205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49.19</w:t>
            </w:r>
          </w:p>
        </w:tc>
        <w:tc>
          <w:tcPr>
            <w:tcW w:w="1820" w:type="dxa"/>
            <w:vAlign w:val="bottom"/>
            <w:gridSpan w:val="2"/>
          </w:tcPr>
          <w:p>
            <w:pPr>
              <w:jc w:val="right"/>
              <w:ind w:right="620"/>
              <w:spacing w:after="0"/>
              <w:rPr>
                <w:sz w:val="20"/>
                <w:szCs w:val="20"/>
                <w:color w:val="auto"/>
              </w:rPr>
            </w:pPr>
            <w:r>
              <w:rPr>
                <w:rFonts w:ascii="Arial" w:cs="Arial" w:eastAsia="Arial" w:hAnsi="Arial"/>
                <w:sz w:val="18"/>
                <w:szCs w:val="18"/>
                <w:color w:val="auto"/>
              </w:rPr>
              <w:t>657,205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11,743,506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11,743,506</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665,604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6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665,604</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April 23, 2010, we issued a press release reporting our results of operations for the first quarter of 2010.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17" w:lineRule="exact"/>
        <w:rPr>
          <w:sz w:val="20"/>
          <w:szCs w:val="20"/>
          <w:color w:val="auto"/>
        </w:rPr>
      </w:pPr>
    </w:p>
    <w:p>
      <w:pPr>
        <w:ind w:left="600" w:right="340" w:hanging="593"/>
        <w:spacing w:after="0" w:line="277" w:lineRule="auto"/>
        <w:tabs>
          <w:tab w:leader="none" w:pos="580" w:val="left"/>
        </w:tabs>
        <w:rPr>
          <w:sz w:val="20"/>
          <w:szCs w:val="20"/>
          <w:color w:val="auto"/>
        </w:rPr>
      </w:pPr>
      <w:r>
        <w:rPr>
          <w:rFonts w:ascii="Arial" w:cs="Arial" w:eastAsia="Arial" w:hAnsi="Arial"/>
          <w:sz w:val="18"/>
          <w:szCs w:val="18"/>
          <w:color w:val="auto"/>
        </w:rPr>
        <w:t>3(i).1</w:t>
        <w:tab/>
        <w:t>Charter of T. Rowe Price Group, Inc., as Amended by Articles of Amendment dated April 10, 2008. (Incorporated by reference from Form 10-Q Report for the quarterly period ended March 31, 2008; Accession No. 0000950133-08-001597).</w:t>
      </w:r>
    </w:p>
    <w:p>
      <w:pPr>
        <w:spacing w:after="0" w:line="76" w:lineRule="exact"/>
        <w:rPr>
          <w:sz w:val="20"/>
          <w:szCs w:val="20"/>
          <w:color w:val="auto"/>
        </w:rPr>
      </w:pPr>
    </w:p>
    <w:p>
      <w:pPr>
        <w:ind w:left="600" w:hanging="599"/>
        <w:spacing w:after="0" w:line="277" w:lineRule="auto"/>
        <w:tabs>
          <w:tab w:leader="none" w:pos="580" w:val="left"/>
        </w:tabs>
        <w:rPr>
          <w:sz w:val="20"/>
          <w:szCs w:val="20"/>
          <w:color w:val="auto"/>
        </w:rPr>
      </w:pPr>
      <w:r>
        <w:rPr>
          <w:rFonts w:ascii="Arial" w:cs="Arial" w:eastAsia="Arial" w:hAnsi="Arial"/>
          <w:sz w:val="18"/>
          <w:szCs w:val="18"/>
          <w:color w:val="auto"/>
        </w:rPr>
        <w:t>3(ii)</w:t>
        <w:tab/>
        <w:t>Amended and Restated By-Laws of T. Rowe Price Group, Inc. as of February 12, 2009. (Incorporated by reference from Form 8-K Current Report as of February 17, 2009; Accession No. 0000950133-09-000369).</w:t>
      </w:r>
    </w:p>
    <w:p>
      <w:pPr>
        <w:spacing w:after="0" w:line="76" w:lineRule="exact"/>
        <w:rPr>
          <w:sz w:val="20"/>
          <w:szCs w:val="20"/>
          <w:color w:val="auto"/>
        </w:rPr>
      </w:pPr>
    </w:p>
    <w:p>
      <w:pPr>
        <w:ind w:left="600" w:right="480" w:hanging="593"/>
        <w:spacing w:after="0" w:line="277" w:lineRule="auto"/>
        <w:tabs>
          <w:tab w:leader="none" w:pos="580" w:val="left"/>
        </w:tabs>
        <w:rPr>
          <w:sz w:val="20"/>
          <w:szCs w:val="20"/>
          <w:color w:val="auto"/>
        </w:rPr>
      </w:pPr>
      <w:r>
        <w:rPr>
          <w:rFonts w:ascii="Arial" w:cs="Arial" w:eastAsia="Arial" w:hAnsi="Arial"/>
          <w:sz w:val="18"/>
          <w:szCs w:val="18"/>
          <w:color w:val="auto"/>
        </w:rPr>
        <w:t>10.19</w:t>
        <w:tab/>
        <w:t>Policy for Recoupment of Incentive Compensation. (Incorporated by reference from Form 8-K Current Report as of April 14, 2010; Accession No.0000950123-10-035398).</w:t>
      </w:r>
    </w:p>
    <w:p>
      <w:pPr>
        <w:spacing w:after="0" w:line="76" w:lineRule="exact"/>
        <w:rPr>
          <w:sz w:val="20"/>
          <w:szCs w:val="20"/>
          <w:color w:val="auto"/>
        </w:rPr>
      </w:pPr>
    </w:p>
    <w:p>
      <w:pPr>
        <w:ind w:left="600" w:hanging="592"/>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Code of Ethics for Principal Executive Officer and Senior Financial Officers of T. Rowe Price Group, Inc. under the Sarbanes-Oxley Act of 2002.</w:t>
      </w:r>
    </w:p>
    <w:p>
      <w:pPr>
        <w:spacing w:after="0" w:line="153" w:lineRule="exact"/>
        <w:rPr>
          <w:rFonts w:ascii="Arial" w:cs="Arial" w:eastAsia="Arial" w:hAnsi="Arial"/>
          <w:sz w:val="16"/>
          <w:szCs w:val="16"/>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31(i).1 Rule 13a-14(a) Certification of Principal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31(i).2 Rule 13a-14(a) Certification of Principal Financial Officer.</w:t>
      </w:r>
    </w:p>
    <w:p>
      <w:pPr>
        <w:spacing w:after="0" w:line="1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Section 1350 Certifications.</w:t>
      </w:r>
    </w:p>
    <w:p>
      <w:pPr>
        <w:spacing w:after="0" w:line="1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issued April 23, 2010, reporting our results of operations for the first quarter of 2010.</w:t>
      </w:r>
    </w:p>
    <w:p>
      <w:pPr>
        <w:spacing w:after="0" w:line="131" w:lineRule="exact"/>
        <w:rPr>
          <w:sz w:val="20"/>
          <w:szCs w:val="20"/>
          <w:color w:val="auto"/>
        </w:rPr>
      </w:pPr>
    </w:p>
    <w:p>
      <w:pPr>
        <w:ind w:left="600" w:right="140" w:hanging="592"/>
        <w:spacing w:after="0" w:line="264"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740" w:type="dxa"/>
            <w:vAlign w:val="bottom"/>
          </w:tcPr>
          <w:p>
            <w:pPr>
              <w:ind w:left="240"/>
              <w:spacing w:after="0"/>
              <w:rPr>
                <w:sz w:val="20"/>
                <w:szCs w:val="20"/>
                <w:color w:val="auto"/>
              </w:rPr>
            </w:pPr>
            <w:r>
              <w:rPr>
                <w:rFonts w:ascii="Arial" w:cs="Arial" w:eastAsia="Arial" w:hAnsi="Arial"/>
                <w:sz w:val="18"/>
                <w:szCs w:val="18"/>
                <w:color w:val="auto"/>
              </w:rPr>
              <w:t>XBRL Instance Document (File name: trow-20100331.xml)</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74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 (File name: trow-20100331.xsd)</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740" w:type="dxa"/>
            <w:vAlign w:val="bottom"/>
          </w:tcPr>
          <w:p>
            <w:pPr>
              <w:ind w:left="300"/>
              <w:spacing w:after="0"/>
              <w:rPr>
                <w:sz w:val="20"/>
                <w:szCs w:val="20"/>
                <w:color w:val="auto"/>
              </w:rPr>
            </w:pPr>
            <w:r>
              <w:rPr>
                <w:rFonts w:ascii="Arial" w:cs="Arial" w:eastAsia="Arial" w:hAnsi="Arial"/>
                <w:sz w:val="18"/>
                <w:szCs w:val="18"/>
                <w:color w:val="auto"/>
                <w:w w:val="93"/>
              </w:rPr>
              <w:t>XBRL Taxonomy Calculation Linkbase Document (File name: trow-20100331_cal.xml)</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740" w:type="dxa"/>
            <w:vAlign w:val="bottom"/>
          </w:tcPr>
          <w:p>
            <w:pPr>
              <w:ind w:left="300"/>
              <w:spacing w:after="0"/>
              <w:rPr>
                <w:sz w:val="20"/>
                <w:szCs w:val="20"/>
                <w:color w:val="auto"/>
              </w:rPr>
            </w:pPr>
            <w:r>
              <w:rPr>
                <w:rFonts w:ascii="Arial" w:cs="Arial" w:eastAsia="Arial" w:hAnsi="Arial"/>
                <w:sz w:val="18"/>
                <w:szCs w:val="18"/>
                <w:color w:val="auto"/>
                <w:w w:val="99"/>
              </w:rPr>
              <w:t>XBRL Taxonomy Label Linkbase Document (File name: trow-20100331_lab.xml)</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740" w:type="dxa"/>
            <w:vAlign w:val="bottom"/>
          </w:tcPr>
          <w:p>
            <w:pPr>
              <w:ind w:left="280"/>
              <w:spacing w:after="0"/>
              <w:rPr>
                <w:sz w:val="20"/>
                <w:szCs w:val="20"/>
                <w:color w:val="auto"/>
              </w:rPr>
            </w:pPr>
            <w:r>
              <w:rPr>
                <w:rFonts w:ascii="Arial" w:cs="Arial" w:eastAsia="Arial" w:hAnsi="Arial"/>
                <w:sz w:val="18"/>
                <w:szCs w:val="18"/>
                <w:color w:val="auto"/>
                <w:w w:val="91"/>
              </w:rPr>
              <w:t>XBRL Taxonomy Presentation Linkbase Document (File name: trow-20100331_pre.xml)</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740" w:type="dxa"/>
            <w:vAlign w:val="bottom"/>
          </w:tcPr>
          <w:p>
            <w:pPr>
              <w:ind w:left="280"/>
              <w:spacing w:after="0"/>
              <w:rPr>
                <w:sz w:val="20"/>
                <w:szCs w:val="20"/>
                <w:color w:val="auto"/>
              </w:rPr>
            </w:pPr>
            <w:r>
              <w:rPr>
                <w:rFonts w:ascii="Arial" w:cs="Arial" w:eastAsia="Arial" w:hAnsi="Arial"/>
                <w:sz w:val="18"/>
                <w:szCs w:val="18"/>
                <w:color w:val="auto"/>
                <w:w w:val="95"/>
              </w:rPr>
              <w:t>XBRL Taxonomy Definition Linkbase Document (File name: trow-20100331_def.xml)</w:t>
            </w:r>
          </w:p>
        </w:tc>
      </w:tr>
    </w:tbl>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23,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60"/>
          </w:cols>
          <w:pgMar w:left="240" w:top="931"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14</w:t>
      </w:r>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CODE OF ETHICS FOR PRINCIPAL EXECUTIVE AND SENIOR FINANCIAL OFFICERS OF T. ROWE PRICE GROUP, INC. UNDER THE SARBANES-OXLEY ACT OF 2002</w:t>
      </w:r>
    </w:p>
    <w:p>
      <w:pPr>
        <w:spacing w:after="0" w:line="6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I. General Statement. </w:t>
      </w:r>
      <w:r>
        <w:rPr>
          <w:rFonts w:ascii="Arial" w:cs="Arial" w:eastAsia="Arial" w:hAnsi="Arial"/>
          <w:sz w:val="17"/>
          <w:szCs w:val="17"/>
          <w:color w:val="auto"/>
        </w:rPr>
        <w:t>This Code of Ethics</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“Group S-O Code”) </w:t>
      </w:r>
      <w:r>
        <w:rPr>
          <w:rFonts w:ascii="Arial" w:cs="Arial" w:eastAsia="Arial" w:hAnsi="Arial"/>
          <w:sz w:val="17"/>
          <w:szCs w:val="17"/>
          <w:color w:val="auto"/>
        </w:rPr>
        <w:t>has been designed to bring T. Rowe Price Group, Inc.</w:t>
      </w:r>
      <w:r>
        <w:rPr>
          <w:rFonts w:ascii="Arial" w:cs="Arial" w:eastAsia="Arial" w:hAnsi="Arial"/>
          <w:sz w:val="17"/>
          <w:szCs w:val="17"/>
          <w:b w:val="1"/>
          <w:bCs w:val="1"/>
          <w:color w:val="auto"/>
        </w:rPr>
        <w:t xml:space="preserve"> (“Group”) </w:t>
      </w:r>
      <w:r>
        <w:rPr>
          <w:rFonts w:ascii="Arial" w:cs="Arial" w:eastAsia="Arial" w:hAnsi="Arial"/>
          <w:sz w:val="17"/>
          <w:szCs w:val="17"/>
          <w:color w:val="auto"/>
        </w:rPr>
        <w:t>into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applicable requirements of the Sarbanes-Oxley Act of 2002 </w:t>
      </w:r>
      <w:r>
        <w:rPr>
          <w:rFonts w:ascii="Arial" w:cs="Arial" w:eastAsia="Arial" w:hAnsi="Arial"/>
          <w:sz w:val="17"/>
          <w:szCs w:val="17"/>
          <w:b w:val="1"/>
          <w:bCs w:val="1"/>
          <w:color w:val="auto"/>
        </w:rPr>
        <w:t>(</w:t>
      </w:r>
      <w:r>
        <w:rPr>
          <w:rFonts w:ascii="Arial" w:cs="Arial" w:eastAsia="Arial" w:hAnsi="Arial"/>
          <w:sz w:val="17"/>
          <w:szCs w:val="17"/>
          <w:color w:val="auto"/>
        </w:rPr>
        <w:t xml:space="preserve">the </w:t>
      </w:r>
      <w:r>
        <w:rPr>
          <w:rFonts w:ascii="Arial" w:cs="Arial" w:eastAsia="Arial" w:hAnsi="Arial"/>
          <w:sz w:val="17"/>
          <w:szCs w:val="17"/>
          <w:b w:val="1"/>
          <w:bCs w:val="1"/>
          <w:color w:val="auto"/>
        </w:rPr>
        <w:t>“Act”)</w:t>
      </w:r>
      <w:r>
        <w:rPr>
          <w:rFonts w:ascii="Arial" w:cs="Arial" w:eastAsia="Arial" w:hAnsi="Arial"/>
          <w:sz w:val="17"/>
          <w:szCs w:val="17"/>
          <w:color w:val="auto"/>
        </w:rPr>
        <w:t xml:space="preserve"> and rules promulgated by the Securities and Exchange Commission thereunder (the “Regulations”). The Group S-O Code applies solely to the Principal Executive Officer, Principal Financial Officer, Principal Accounting Officer or Controller of, or persons performing similar functions for, Group </w:t>
      </w:r>
      <w:r>
        <w:rPr>
          <w:rFonts w:ascii="Arial" w:cs="Arial" w:eastAsia="Arial" w:hAnsi="Arial"/>
          <w:sz w:val="17"/>
          <w:szCs w:val="17"/>
          <w:b w:val="1"/>
          <w:bCs w:val="1"/>
          <w:color w:val="auto"/>
        </w:rPr>
        <w:t>(“Covered Officers”)</w:t>
      </w:r>
      <w:r>
        <w:rPr>
          <w:rFonts w:ascii="Arial" w:cs="Arial" w:eastAsia="Arial" w:hAnsi="Arial"/>
          <w:sz w:val="17"/>
          <w:szCs w:val="17"/>
          <w:color w:val="auto"/>
        </w:rPr>
        <w:t xml:space="preserve">. A list of Covered Officers is attached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5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 xml:space="preserve">Group has also maintained a comprehensive Code of Ethics and Conduct </w:t>
      </w:r>
      <w:r>
        <w:rPr>
          <w:rFonts w:ascii="Arial" w:cs="Arial" w:eastAsia="Arial" w:hAnsi="Arial"/>
          <w:sz w:val="18"/>
          <w:szCs w:val="18"/>
          <w:b w:val="1"/>
          <w:bCs w:val="1"/>
          <w:color w:val="auto"/>
        </w:rPr>
        <w:t>(</w:t>
      </w:r>
      <w:r>
        <w:rPr>
          <w:rFonts w:ascii="Arial" w:cs="Arial" w:eastAsia="Arial" w:hAnsi="Arial"/>
          <w:sz w:val="18"/>
          <w:szCs w:val="18"/>
          <w:color w:val="auto"/>
        </w:rPr>
        <w:t xml:space="preserve">the </w:t>
      </w:r>
      <w:r>
        <w:rPr>
          <w:rFonts w:ascii="Arial" w:cs="Arial" w:eastAsia="Arial" w:hAnsi="Arial"/>
          <w:sz w:val="18"/>
          <w:szCs w:val="18"/>
          <w:b w:val="1"/>
          <w:bCs w:val="1"/>
          <w:color w:val="auto"/>
        </w:rPr>
        <w:t>“Group Code”)</w:t>
      </w:r>
      <w:r>
        <w:rPr>
          <w:rFonts w:ascii="Arial" w:cs="Arial" w:eastAsia="Arial" w:hAnsi="Arial"/>
          <w:sz w:val="18"/>
          <w:szCs w:val="18"/>
          <w:color w:val="auto"/>
        </w:rPr>
        <w:t xml:space="preserve"> since 1972, which applies to all officers, directors and employees of Group and its affiliates.</w:t>
      </w:r>
    </w:p>
    <w:p>
      <w:pPr>
        <w:spacing w:after="0" w:line="5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As mandated by the Act, the Price Funds have also adopted a Code </w:t>
      </w:r>
      <w:r>
        <w:rPr>
          <w:rFonts w:ascii="Arial" w:cs="Arial" w:eastAsia="Arial" w:hAnsi="Arial"/>
          <w:sz w:val="18"/>
          <w:szCs w:val="18"/>
          <w:b w:val="1"/>
          <w:bCs w:val="1"/>
          <w:color w:val="auto"/>
        </w:rPr>
        <w:t>(</w:t>
      </w:r>
      <w:r>
        <w:rPr>
          <w:rFonts w:ascii="Arial" w:cs="Arial" w:eastAsia="Arial" w:hAnsi="Arial"/>
          <w:sz w:val="18"/>
          <w:szCs w:val="18"/>
          <w:color w:val="auto"/>
        </w:rPr>
        <w:t xml:space="preserve">the </w:t>
      </w:r>
      <w:r>
        <w:rPr>
          <w:rFonts w:ascii="Arial" w:cs="Arial" w:eastAsia="Arial" w:hAnsi="Arial"/>
          <w:sz w:val="18"/>
          <w:szCs w:val="18"/>
          <w:b w:val="1"/>
          <w:bCs w:val="1"/>
          <w:color w:val="auto"/>
        </w:rPr>
        <w:t>“Price Funds S-O Code”)</w:t>
      </w:r>
      <w:r>
        <w:rPr>
          <w:rFonts w:ascii="Arial" w:cs="Arial" w:eastAsia="Arial" w:hAnsi="Arial"/>
          <w:sz w:val="18"/>
          <w:szCs w:val="18"/>
          <w:color w:val="auto"/>
        </w:rPr>
        <w:t xml:space="preserve">, similar to the Group S-O Code, which applies solely to the principal executive and senior financial officers of the Price Funds. The </w:t>
      </w:r>
      <w:r>
        <w:rPr>
          <w:rFonts w:ascii="Arial" w:cs="Arial" w:eastAsia="Arial" w:hAnsi="Arial"/>
          <w:sz w:val="18"/>
          <w:szCs w:val="18"/>
          <w:b w:val="1"/>
          <w:bCs w:val="1"/>
          <w:color w:val="auto"/>
        </w:rPr>
        <w:t>“Price Funds”</w:t>
      </w:r>
      <w:r>
        <w:rPr>
          <w:rFonts w:ascii="Arial" w:cs="Arial" w:eastAsia="Arial" w:hAnsi="Arial"/>
          <w:sz w:val="18"/>
          <w:szCs w:val="18"/>
          <w:color w:val="auto"/>
        </w:rPr>
        <w:t xml:space="preserve"> include each mutual fund that is managed, sponsored and distributed by affiliates of Group</w:t>
      </w:r>
      <w:r>
        <w:rPr>
          <w:rFonts w:ascii="Arial" w:cs="Arial" w:eastAsia="Arial" w:hAnsi="Arial"/>
          <w:sz w:val="18"/>
          <w:szCs w:val="18"/>
          <w:b w:val="1"/>
          <w:bCs w:val="1"/>
          <w:color w:val="auto"/>
        </w:rPr>
        <w:t>.</w:t>
      </w:r>
      <w:r>
        <w:rPr>
          <w:rFonts w:ascii="Arial" w:cs="Arial" w:eastAsia="Arial" w:hAnsi="Arial"/>
          <w:sz w:val="18"/>
          <w:szCs w:val="18"/>
          <w:color w:val="auto"/>
        </w:rPr>
        <w:t xml:space="preserve"> The investment managers to the Price Funds will be referred to as the </w:t>
      </w:r>
      <w:r>
        <w:rPr>
          <w:rFonts w:ascii="Arial" w:cs="Arial" w:eastAsia="Arial" w:hAnsi="Arial"/>
          <w:sz w:val="18"/>
          <w:szCs w:val="18"/>
          <w:b w:val="1"/>
          <w:bCs w:val="1"/>
          <w:color w:val="auto"/>
        </w:rPr>
        <w:t>“Price Fund Advisers”.</w:t>
      </w:r>
      <w:r>
        <w:rPr>
          <w:rFonts w:ascii="Arial" w:cs="Arial" w:eastAsia="Arial" w:hAnsi="Arial"/>
          <w:sz w:val="18"/>
          <w:szCs w:val="18"/>
          <w:color w:val="auto"/>
        </w:rPr>
        <w:t xml:space="preserve"> The Group S-O Code and the Price Funds S-O Code will be referred to collectively as the </w:t>
      </w:r>
      <w:r>
        <w:rPr>
          <w:rFonts w:ascii="Arial" w:cs="Arial" w:eastAsia="Arial" w:hAnsi="Arial"/>
          <w:sz w:val="18"/>
          <w:szCs w:val="18"/>
          <w:b w:val="1"/>
          <w:bCs w:val="1"/>
          <w:color w:val="auto"/>
        </w:rPr>
        <w:t>“S-O Codes”</w:t>
      </w:r>
      <w:r>
        <w:rPr>
          <w:rFonts w:ascii="Arial" w:cs="Arial" w:eastAsia="Arial" w:hAnsi="Arial"/>
          <w:sz w:val="18"/>
          <w:szCs w:val="18"/>
          <w:color w:val="auto"/>
        </w:rPr>
        <w:t>.</w:t>
      </w:r>
    </w:p>
    <w:p>
      <w:pPr>
        <w:spacing w:after="0" w:line="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Group S-O Code has been adopted by Group in accordance with the Act and Regulations thereunder, and will be administered in conformity with the disclosure requirements of Section 229.406 of the Code of Federal Regulations. The S-O Codes are attachments to the Group Code. In many respects the S-O Codes are supplementary to the Group Code, but the Group Code is administered separately from the S-O Codes, as the S-O Codes are from each other.</w:t>
      </w:r>
    </w:p>
    <w:p>
      <w:pPr>
        <w:spacing w:after="0" w:line="35" w:lineRule="exact"/>
        <w:rPr>
          <w:sz w:val="20"/>
          <w:szCs w:val="20"/>
          <w:color w:val="auto"/>
        </w:rPr>
      </w:pPr>
    </w:p>
    <w:p>
      <w:pPr>
        <w:ind w:right="440" w:firstLine="8"/>
        <w:spacing w:after="0" w:line="282" w:lineRule="auto"/>
        <w:tabs>
          <w:tab w:leader="none" w:pos="23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of the Group S-O Code. </w:t>
      </w:r>
      <w:r>
        <w:rPr>
          <w:rFonts w:ascii="Arial" w:cs="Arial" w:eastAsia="Arial" w:hAnsi="Arial"/>
          <w:sz w:val="18"/>
          <w:szCs w:val="18"/>
          <w:color w:val="auto"/>
        </w:rPr>
        <w:t>The purpose of the Group S-O Code, as mandated by the Act and the Regulations is to establish standards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designed to deter wrongdoing and to promote:</w:t>
      </w:r>
    </w:p>
    <w:p>
      <w:pPr>
        <w:spacing w:after="0" w:line="54" w:lineRule="exact"/>
        <w:rPr>
          <w:sz w:val="20"/>
          <w:szCs w:val="20"/>
          <w:color w:val="auto"/>
        </w:rPr>
      </w:pPr>
    </w:p>
    <w:p>
      <w:pPr>
        <w:ind w:left="240" w:right="160"/>
        <w:spacing w:after="0" w:line="282" w:lineRule="auto"/>
        <w:rPr>
          <w:sz w:val="20"/>
          <w:szCs w:val="20"/>
          <w:color w:val="auto"/>
        </w:rPr>
      </w:pPr>
      <w:r>
        <w:rPr>
          <w:rFonts w:ascii="Arial" w:cs="Arial" w:eastAsia="Arial" w:hAnsi="Arial"/>
          <w:sz w:val="18"/>
          <w:szCs w:val="18"/>
          <w:b w:val="1"/>
          <w:bCs w:val="1"/>
          <w:color w:val="auto"/>
        </w:rPr>
        <w:t xml:space="preserve">Ethical Conduct. </w:t>
      </w:r>
      <w:r>
        <w:rPr>
          <w:rFonts w:ascii="Arial" w:cs="Arial" w:eastAsia="Arial" w:hAnsi="Arial"/>
          <w:sz w:val="18"/>
          <w:szCs w:val="18"/>
          <w:color w:val="auto"/>
        </w:rPr>
        <w:t>Honest and ethical conduct, including the ethical handling of actual or apparent conflicts of interest between personal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w:t>
      </w:r>
    </w:p>
    <w:p>
      <w:pPr>
        <w:spacing w:after="0" w:line="54" w:lineRule="exact"/>
        <w:rPr>
          <w:sz w:val="20"/>
          <w:szCs w:val="20"/>
          <w:color w:val="auto"/>
        </w:rPr>
      </w:pPr>
    </w:p>
    <w:p>
      <w:pPr>
        <w:ind w:left="240" w:right="200"/>
        <w:spacing w:after="0" w:line="282" w:lineRule="auto"/>
        <w:rPr>
          <w:sz w:val="20"/>
          <w:szCs w:val="20"/>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Full, fair, accurate, timely and understandable disclosure in reports and documents that Group files with, or submits to, the SEC and 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public communications made by Group.</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Compliance with applicable governmental laws, rules and regulations.</w:t>
      </w:r>
    </w:p>
    <w:p>
      <w:pPr>
        <w:spacing w:after="0" w:line="117"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 xml:space="preserve">Reporting of Violations. </w:t>
      </w:r>
      <w:r>
        <w:rPr>
          <w:rFonts w:ascii="Arial" w:cs="Arial" w:eastAsia="Arial" w:hAnsi="Arial"/>
          <w:sz w:val="18"/>
          <w:szCs w:val="18"/>
          <w:color w:val="auto"/>
        </w:rPr>
        <w:t>The prompt internal reporting of violations of the Group S-O Code to an appropriate person or persons identified in the Group S-O Code.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Accountability. </w:t>
      </w:r>
      <w:r>
        <w:rPr>
          <w:rFonts w:ascii="Arial" w:cs="Arial" w:eastAsia="Arial" w:hAnsi="Arial"/>
          <w:sz w:val="18"/>
          <w:szCs w:val="18"/>
          <w:color w:val="auto"/>
        </w:rPr>
        <w:t>Accountability for adherence to the Group S-O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Covered Officers Should Handle Ethically Actual and Apparent Conflicts of Interest.</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Each Covered Officer owes a duty to Group to adhere to a high standard of honesty and business ethics and should be sensitive to situations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give rise to actual as well as apparent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spacing w:after="0" w:line="342" w:lineRule="auto"/>
        <w:rPr>
          <w:sz w:val="20"/>
          <w:szCs w:val="20"/>
          <w:color w:val="auto"/>
        </w:rPr>
      </w:pPr>
      <w:r>
        <w:rPr>
          <w:rFonts w:ascii="Arial" w:cs="Arial" w:eastAsia="Arial" w:hAnsi="Arial"/>
          <w:sz w:val="16"/>
          <w:szCs w:val="16"/>
          <w:color w:val="auto"/>
        </w:rPr>
        <w:t>A “conflict of interest” occurs when a Covered Officer’s private interest interferes with the interests of, or his or her service to, Group. For example, a conflict of interest would arise if a Covered Officer, or a member of his or her family, receives improper personal benefits as a result of his or her position with Group.</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Certain conflicts of interest covered by the Group S-O Code may already be subject to provisions regulating conflicts of interest in the Investment Company Act of 1940 </w:t>
      </w:r>
      <w:r>
        <w:rPr>
          <w:rFonts w:ascii="Arial" w:cs="Arial" w:eastAsia="Arial" w:hAnsi="Arial"/>
          <w:sz w:val="17"/>
          <w:szCs w:val="17"/>
          <w:b w:val="1"/>
          <w:bCs w:val="1"/>
          <w:color w:val="auto"/>
        </w:rPr>
        <w:t>(“Investment Company Act”)</w:t>
      </w:r>
      <w:r>
        <w:rPr>
          <w:rFonts w:ascii="Arial" w:cs="Arial" w:eastAsia="Arial" w:hAnsi="Arial"/>
          <w:sz w:val="17"/>
          <w:szCs w:val="17"/>
          <w:color w:val="auto"/>
        </w:rPr>
        <w:t xml:space="preserve">, the Investment Advisers Act of 1940 </w:t>
      </w:r>
      <w:r>
        <w:rPr>
          <w:rFonts w:ascii="Arial" w:cs="Arial" w:eastAsia="Arial" w:hAnsi="Arial"/>
          <w:sz w:val="17"/>
          <w:szCs w:val="17"/>
          <w:b w:val="1"/>
          <w:bCs w:val="1"/>
          <w:color w:val="auto"/>
        </w:rPr>
        <w:t>(“Investment Advisers Act”)</w:t>
      </w:r>
      <w:r>
        <w:rPr>
          <w:rFonts w:ascii="Arial" w:cs="Arial" w:eastAsia="Arial" w:hAnsi="Arial"/>
          <w:sz w:val="17"/>
          <w:szCs w:val="17"/>
          <w:color w:val="auto"/>
        </w:rPr>
        <w:t xml:space="preserve"> and the Group Code. The compliance programs and procedures of Group and its affiliates are designed to prevent, or identify and correct, violations of these provisions.</w:t>
      </w:r>
    </w:p>
    <w:p>
      <w:pPr>
        <w:spacing w:after="0" w:line="57"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Although typically not presenting an opportunity for improper personal benefit, conflicts may arise from, or as a result of, the contractual relationship between a Price Fund and its Price Fund Adviser of which the Covered Officers may also be officers or employees. As a result, the Group S-O Code recognizes that the Covered Officers may, in the normal course of their duties (whether formally for the Price Funds or for the Price Fund Advisers or for both), be involved in establishing policies and implementing decisions which will have different effects on these entities. The participation of the Covered Officers in such activities is inherent in the contractual relationship between each Price Fund and its respective Price Fund Adviser</w:t>
      </w:r>
    </w:p>
    <w:p>
      <w:pPr>
        <w:spacing w:after="0" w:line="5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Other conflicts of interest are covered by the Group S-O Code, even if these conflicts of interest are not addressed by or subject to provisions in the Investment Company Act and the Investment Advisers Act.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Whenever a Covered Officer is confronted with a conflict of interest situation where he or she is uncertain as to the appropriate action to be taken, he or she should discuss the matter with the Chairperson of Group’s Ethics Committee or another member of the Committee.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Handling of Specific Types of Conflicts. </w:t>
      </w:r>
      <w:r>
        <w:rPr>
          <w:rFonts w:ascii="Arial" w:cs="Arial" w:eastAsia="Arial" w:hAnsi="Arial"/>
          <w:sz w:val="18"/>
          <w:szCs w:val="18"/>
          <w:color w:val="auto"/>
        </w:rPr>
        <w:t>Each Covered Officer (and close family member) must not:</w:t>
      </w:r>
    </w:p>
    <w:p>
      <w:pPr>
        <w:spacing w:after="0" w:line="117" w:lineRule="exact"/>
        <w:rPr>
          <w:sz w:val="20"/>
          <w:szCs w:val="20"/>
          <w:color w:val="auto"/>
        </w:rPr>
      </w:pPr>
    </w:p>
    <w:p>
      <w:pPr>
        <w:ind w:left="460" w:right="260"/>
        <w:spacing w:after="0" w:line="266" w:lineRule="auto"/>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Accept entertainment from any company with which Group or any of its affiliates (including any Price Fund) has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prospective business dealings, including portfolio companies, unless such entertainment is in full compliance with the policy on entertainment as set forth in the Group Code.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Gifts. </w:t>
      </w:r>
      <w:r>
        <w:rPr>
          <w:rFonts w:ascii="Arial" w:cs="Arial" w:eastAsia="Arial" w:hAnsi="Arial"/>
          <w:sz w:val="18"/>
          <w:szCs w:val="18"/>
          <w:color w:val="auto"/>
        </w:rPr>
        <w:t>Accept any gifts, except as permitted by the Group Code.</w:t>
      </w:r>
    </w:p>
    <w:p>
      <w:pPr>
        <w:spacing w:after="0" w:line="117" w:lineRule="exact"/>
        <w:rPr>
          <w:sz w:val="20"/>
          <w:szCs w:val="20"/>
          <w:color w:val="auto"/>
        </w:rPr>
      </w:pPr>
    </w:p>
    <w:p>
      <w:pPr>
        <w:ind w:left="460" w:right="260"/>
        <w:spacing w:after="0" w:line="282" w:lineRule="auto"/>
        <w:rPr>
          <w:sz w:val="20"/>
          <w:szCs w:val="20"/>
          <w:color w:val="auto"/>
        </w:rPr>
      </w:pPr>
      <w:r>
        <w:rPr>
          <w:rFonts w:ascii="Arial" w:cs="Arial" w:eastAsia="Arial" w:hAnsi="Arial"/>
          <w:sz w:val="18"/>
          <w:szCs w:val="18"/>
          <w:b w:val="1"/>
          <w:bCs w:val="1"/>
          <w:color w:val="auto"/>
        </w:rPr>
        <w:t xml:space="preserve">Improper Personal Influence. </w:t>
      </w:r>
      <w:r>
        <w:rPr>
          <w:rFonts w:ascii="Arial" w:cs="Arial" w:eastAsia="Arial" w:hAnsi="Arial"/>
          <w:sz w:val="18"/>
          <w:szCs w:val="18"/>
          <w:color w:val="auto"/>
        </w:rPr>
        <w:t>Use his or her personal influence or personal relationships improperly to influence corporate decisions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to the detriment of Group or of its affiliates.</w:t>
      </w:r>
    </w:p>
    <w:p>
      <w:pPr>
        <w:spacing w:after="0" w:line="54" w:lineRule="exact"/>
        <w:rPr>
          <w:sz w:val="20"/>
          <w:szCs w:val="20"/>
          <w:color w:val="auto"/>
        </w:rPr>
      </w:pPr>
    </w:p>
    <w:p>
      <w:pPr>
        <w:ind w:left="460" w:right="360"/>
        <w:spacing w:after="0" w:line="282" w:lineRule="auto"/>
        <w:rPr>
          <w:sz w:val="20"/>
          <w:szCs w:val="20"/>
          <w:color w:val="auto"/>
        </w:rPr>
      </w:pPr>
      <w:r>
        <w:rPr>
          <w:rFonts w:ascii="Arial" w:cs="Arial" w:eastAsia="Arial" w:hAnsi="Arial"/>
          <w:sz w:val="18"/>
          <w:szCs w:val="18"/>
          <w:b w:val="1"/>
          <w:bCs w:val="1"/>
          <w:color w:val="auto"/>
        </w:rPr>
        <w:t xml:space="preserve">Taking Action at the Expense of Group. </w:t>
      </w:r>
      <w:r>
        <w:rPr>
          <w:rFonts w:ascii="Arial" w:cs="Arial" w:eastAsia="Arial" w:hAnsi="Arial"/>
          <w:sz w:val="18"/>
          <w:szCs w:val="18"/>
          <w:color w:val="auto"/>
        </w:rPr>
        <w:t>Cause Group or any affiliate to take action, or fail to take action, for the personal benefit of the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rather than for the benefit of Group or its affiliates.</w:t>
      </w:r>
    </w:p>
    <w:p>
      <w:pPr>
        <w:spacing w:after="0" w:line="54" w:lineRule="exact"/>
        <w:rPr>
          <w:sz w:val="20"/>
          <w:szCs w:val="20"/>
          <w:color w:val="auto"/>
        </w:rPr>
      </w:pPr>
    </w:p>
    <w:p>
      <w:pPr>
        <w:ind w:left="460" w:right="20"/>
        <w:spacing w:after="0" w:line="282" w:lineRule="auto"/>
        <w:rPr>
          <w:sz w:val="20"/>
          <w:szCs w:val="20"/>
          <w:color w:val="auto"/>
        </w:rPr>
      </w:pPr>
      <w:r>
        <w:rPr>
          <w:rFonts w:ascii="Arial" w:cs="Arial" w:eastAsia="Arial" w:hAnsi="Arial"/>
          <w:sz w:val="18"/>
          <w:szCs w:val="18"/>
          <w:b w:val="1"/>
          <w:bCs w:val="1"/>
          <w:color w:val="auto"/>
        </w:rPr>
        <w:t xml:space="preserve">Misuse of Inside Information Regarding Group. </w:t>
      </w:r>
      <w:r>
        <w:rPr>
          <w:rFonts w:ascii="Arial" w:cs="Arial" w:eastAsia="Arial" w:hAnsi="Arial"/>
          <w:sz w:val="18"/>
          <w:szCs w:val="18"/>
          <w:color w:val="auto"/>
        </w:rPr>
        <w:t>Use material, non-public information about Group in violation of the Group Code and/or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w:t>
      </w:r>
    </w:p>
    <w:p>
      <w:pPr>
        <w:spacing w:after="0" w:line="54" w:lineRule="exact"/>
        <w:rPr>
          <w:sz w:val="20"/>
          <w:szCs w:val="20"/>
          <w:color w:val="auto"/>
        </w:rPr>
      </w:pPr>
    </w:p>
    <w:p>
      <w:pPr>
        <w:ind w:left="460" w:right="400"/>
        <w:spacing w:after="0" w:line="282" w:lineRule="auto"/>
        <w:rPr>
          <w:sz w:val="20"/>
          <w:szCs w:val="20"/>
          <w:color w:val="auto"/>
        </w:rPr>
      </w:pPr>
      <w:r>
        <w:rPr>
          <w:rFonts w:ascii="Arial" w:cs="Arial" w:eastAsia="Arial" w:hAnsi="Arial"/>
          <w:sz w:val="18"/>
          <w:szCs w:val="18"/>
          <w:b w:val="1"/>
          <w:bCs w:val="1"/>
          <w:color w:val="auto"/>
        </w:rPr>
        <w:t xml:space="preserve">Outside Business Activities. </w:t>
      </w:r>
      <w:r>
        <w:rPr>
          <w:rFonts w:ascii="Arial" w:cs="Arial" w:eastAsia="Arial" w:hAnsi="Arial"/>
          <w:sz w:val="18"/>
          <w:szCs w:val="18"/>
          <w:color w:val="auto"/>
        </w:rPr>
        <w:t>Engage in any outside business activity that detracts from a Covered Officer’s ability to devote appropriate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to his or her responsibilities to Group.</w:t>
      </w:r>
    </w:p>
    <w:p>
      <w:pPr>
        <w:spacing w:after="0" w:line="54" w:lineRule="exact"/>
        <w:rPr>
          <w:sz w:val="20"/>
          <w:szCs w:val="20"/>
          <w:color w:val="auto"/>
        </w:rPr>
      </w:pPr>
    </w:p>
    <w:p>
      <w:pPr>
        <w:ind w:left="460" w:right="220"/>
        <w:spacing w:after="0" w:line="282" w:lineRule="auto"/>
        <w:rPr>
          <w:sz w:val="20"/>
          <w:szCs w:val="20"/>
          <w:color w:val="auto"/>
        </w:rPr>
      </w:pPr>
      <w:r>
        <w:rPr>
          <w:rFonts w:ascii="Arial" w:cs="Arial" w:eastAsia="Arial" w:hAnsi="Arial"/>
          <w:sz w:val="18"/>
          <w:szCs w:val="18"/>
          <w:b w:val="1"/>
          <w:bCs w:val="1"/>
          <w:color w:val="auto"/>
        </w:rPr>
        <w:t xml:space="preserve">Service Providers. </w:t>
      </w:r>
      <w:r>
        <w:rPr>
          <w:rFonts w:ascii="Arial" w:cs="Arial" w:eastAsia="Arial" w:hAnsi="Arial"/>
          <w:sz w:val="18"/>
          <w:szCs w:val="18"/>
          <w:color w:val="auto"/>
        </w:rPr>
        <w:t>Excluding Group and its affiliates, have any ownership interest in, or any consulting or employment relationship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of Group or any of its affiliates, except that an ownership interest in public companies is permitted.</w:t>
      </w:r>
    </w:p>
    <w:p>
      <w:pPr>
        <w:spacing w:after="0" w:line="54" w:lineRule="exact"/>
        <w:rPr>
          <w:sz w:val="20"/>
          <w:szCs w:val="20"/>
          <w:color w:val="auto"/>
        </w:rPr>
      </w:pPr>
    </w:p>
    <w:p>
      <w:pPr>
        <w:ind w:left="460" w:right="480"/>
        <w:spacing w:after="0" w:line="282" w:lineRule="auto"/>
        <w:rPr>
          <w:sz w:val="20"/>
          <w:szCs w:val="20"/>
          <w:color w:val="auto"/>
        </w:rPr>
      </w:pPr>
      <w:r>
        <w:rPr>
          <w:rFonts w:ascii="Arial" w:cs="Arial" w:eastAsia="Arial" w:hAnsi="Arial"/>
          <w:sz w:val="18"/>
          <w:szCs w:val="18"/>
          <w:b w:val="1"/>
          <w:bCs w:val="1"/>
          <w:color w:val="auto"/>
        </w:rPr>
        <w:t xml:space="preserve">Receipt of Payments. </w:t>
      </w:r>
      <w:r>
        <w:rPr>
          <w:rFonts w:ascii="Arial" w:cs="Arial" w:eastAsia="Arial" w:hAnsi="Arial"/>
          <w:sz w:val="18"/>
          <w:szCs w:val="18"/>
          <w:color w:val="auto"/>
        </w:rPr>
        <w:t>Have a direct or indirect financial interest in commissions, transaction charges or other payments paid to or by a vendor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transaction with Group or its affiliates.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left="460" w:right="540"/>
        <w:spacing w:after="0" w:line="313" w:lineRule="auto"/>
        <w:rPr>
          <w:sz w:val="20"/>
          <w:szCs w:val="20"/>
          <w:color w:val="auto"/>
        </w:rPr>
      </w:pPr>
      <w:r>
        <w:rPr>
          <w:rFonts w:ascii="Arial" w:cs="Arial" w:eastAsia="Arial" w:hAnsi="Arial"/>
          <w:sz w:val="17"/>
          <w:szCs w:val="17"/>
          <w:b w:val="1"/>
          <w:bCs w:val="1"/>
          <w:color w:val="auto"/>
        </w:rPr>
        <w:t xml:space="preserve">Service as a Director or Trustee. </w:t>
      </w:r>
      <w:r>
        <w:rPr>
          <w:rFonts w:ascii="Arial" w:cs="Arial" w:eastAsia="Arial" w:hAnsi="Arial"/>
          <w:sz w:val="17"/>
          <w:szCs w:val="17"/>
          <w:color w:val="auto"/>
        </w:rPr>
        <w:t>Serve as a director, trustee or officer of any public or private company or a non-profit organization that issues</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eligible for purchase by any client of an affiliate of Group, unless approval is obtained as required by the Group Code.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Covered Officers’ Specific Obligations and Accountabilities.</w:t>
      </w:r>
    </w:p>
    <w:p>
      <w:pPr>
        <w:spacing w:after="0" w:line="117" w:lineRule="exact"/>
        <w:rPr>
          <w:sz w:val="20"/>
          <w:szCs w:val="20"/>
          <w:color w:val="auto"/>
        </w:rPr>
      </w:pPr>
    </w:p>
    <w:p>
      <w:pPr>
        <w:ind w:left="240" w:right="160" w:firstLine="225"/>
        <w:spacing w:after="0" w:line="266" w:lineRule="auto"/>
        <w:rPr>
          <w:sz w:val="20"/>
          <w:szCs w:val="20"/>
          <w:color w:val="auto"/>
        </w:rPr>
      </w:pPr>
      <w:r>
        <w:rPr>
          <w:rFonts w:ascii="Arial" w:cs="Arial" w:eastAsia="Arial" w:hAnsi="Arial"/>
          <w:sz w:val="18"/>
          <w:szCs w:val="18"/>
          <w:b w:val="1"/>
          <w:bCs w:val="1"/>
          <w:color w:val="auto"/>
        </w:rPr>
        <w:t xml:space="preserve">A. Disclosure Requirements and Controls. </w:t>
      </w:r>
      <w:r>
        <w:rPr>
          <w:rFonts w:ascii="Arial" w:cs="Arial" w:eastAsia="Arial" w:hAnsi="Arial"/>
          <w:sz w:val="18"/>
          <w:szCs w:val="18"/>
          <w:color w:val="auto"/>
        </w:rPr>
        <w:t>Each Covered Officer must familiarize himself or herself with the disclosure requirements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proxy rules (Schedule 14A), shareholder reports, Forms 8-K, 10-K and 10-Q, etc. applicable to Group and the disclosure controls and procedures of Group.</w:t>
      </w:r>
    </w:p>
    <w:p>
      <w:pPr>
        <w:spacing w:after="0" w:line="68" w:lineRule="exact"/>
        <w:rPr>
          <w:sz w:val="20"/>
          <w:szCs w:val="20"/>
          <w:color w:val="auto"/>
        </w:rPr>
      </w:pPr>
    </w:p>
    <w:p>
      <w:pPr>
        <w:ind w:left="240" w:firstLine="225"/>
        <w:spacing w:after="0" w:line="303" w:lineRule="auto"/>
        <w:rPr>
          <w:sz w:val="20"/>
          <w:szCs w:val="20"/>
          <w:color w:val="auto"/>
        </w:rPr>
      </w:pPr>
      <w:r>
        <w:rPr>
          <w:rFonts w:ascii="Arial" w:cs="Arial" w:eastAsia="Arial" w:hAnsi="Arial"/>
          <w:sz w:val="16"/>
          <w:szCs w:val="16"/>
          <w:b w:val="1"/>
          <w:bCs w:val="1"/>
          <w:color w:val="auto"/>
        </w:rPr>
        <w:t xml:space="preserve">B. Compliance with Applicable Law. </w:t>
      </w:r>
      <w:r>
        <w:rPr>
          <w:rFonts w:ascii="Arial" w:cs="Arial" w:eastAsia="Arial" w:hAnsi="Arial"/>
          <w:sz w:val="16"/>
          <w:szCs w:val="16"/>
          <w:color w:val="auto"/>
        </w:rPr>
        <w:t>It is the responsibility of each Covered Officer to promote compliance with all laws,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Group and its affiliates. Each Covered Officer should, to the extent appropriate within his or her area of responsibility, consult with other officers and employees of Group and its affiliates and take other appropriate steps with the goal of promoting full, fair, accurate, timely and understandable disclosure in the reports and documents Group files with, or submits to, the SEC, and in other public communications made by Group.</w:t>
      </w:r>
    </w:p>
    <w:p>
      <w:pPr>
        <w:spacing w:after="0" w:line="43" w:lineRule="exact"/>
        <w:rPr>
          <w:sz w:val="20"/>
          <w:szCs w:val="20"/>
          <w:color w:val="auto"/>
        </w:rPr>
      </w:pPr>
    </w:p>
    <w:p>
      <w:pPr>
        <w:ind w:left="240" w:right="240" w:firstLine="225"/>
        <w:spacing w:after="0" w:line="266" w:lineRule="auto"/>
        <w:rPr>
          <w:sz w:val="20"/>
          <w:szCs w:val="20"/>
          <w:color w:val="auto"/>
        </w:rPr>
      </w:pPr>
      <w:r>
        <w:rPr>
          <w:rFonts w:ascii="Arial" w:cs="Arial" w:eastAsia="Arial" w:hAnsi="Arial"/>
          <w:sz w:val="18"/>
          <w:szCs w:val="18"/>
          <w:b w:val="1"/>
          <w:bCs w:val="1"/>
          <w:color w:val="auto"/>
        </w:rPr>
        <w:t>C. Fair Disclosure</w:t>
      </w:r>
      <w:r>
        <w:rPr>
          <w:rFonts w:ascii="Arial" w:cs="Arial" w:eastAsia="Arial" w:hAnsi="Arial"/>
          <w:sz w:val="18"/>
          <w:szCs w:val="18"/>
          <w:color w:val="auto"/>
        </w:rPr>
        <w:t>. Each Covered Officer must not knowingly misrepresent, or cause others to misrepresent, facts about Group and its affiliates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others, whether within or outside the Price organization, including to Group’s directors and auditors, and to governmental regulators and self-regulatory organizations.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Initial and Annual Affirmations. </w:t>
      </w:r>
      <w:r>
        <w:rPr>
          <w:rFonts w:ascii="Arial" w:cs="Arial" w:eastAsia="Arial" w:hAnsi="Arial"/>
          <w:sz w:val="18"/>
          <w:szCs w:val="18"/>
          <w:color w:val="auto"/>
        </w:rPr>
        <w:t>Each Covered Officer must:</w:t>
      </w:r>
    </w:p>
    <w:p>
      <w:pPr>
        <w:spacing w:after="0" w:line="121" w:lineRule="exact"/>
        <w:rPr>
          <w:sz w:val="20"/>
          <w:szCs w:val="20"/>
          <w:color w:val="auto"/>
        </w:rPr>
      </w:pPr>
    </w:p>
    <w:p>
      <w:pPr>
        <w:ind w:left="460" w:right="100" w:firstLine="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adoption of the Group S-O Code (or thereafter as applicable, upon becoming a Covered Officer), affirm in writing that he or she has received, read, and understands the Group S-O Code.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Annually affirm that he or she has complied with the requirements of the Group S-O Code.</w:t>
      </w:r>
    </w:p>
    <w:p>
      <w:pPr>
        <w:spacing w:after="0" w:line="113" w:lineRule="exact"/>
        <w:rPr>
          <w:sz w:val="20"/>
          <w:szCs w:val="20"/>
          <w:color w:val="auto"/>
        </w:rPr>
      </w:pPr>
    </w:p>
    <w:p>
      <w:pPr>
        <w:ind w:left="240" w:right="160" w:firstLine="225"/>
        <w:spacing w:after="0" w:line="261" w:lineRule="auto"/>
        <w:rPr>
          <w:sz w:val="20"/>
          <w:szCs w:val="20"/>
          <w:color w:val="auto"/>
        </w:rPr>
      </w:pPr>
      <w:r>
        <w:rPr>
          <w:rFonts w:ascii="Arial" w:cs="Arial" w:eastAsia="Arial" w:hAnsi="Arial"/>
          <w:sz w:val="18"/>
          <w:szCs w:val="18"/>
          <w:b w:val="1"/>
          <w:bCs w:val="1"/>
          <w:color w:val="auto"/>
        </w:rPr>
        <w:t xml:space="preserve">E. Reporting of Material Violations of the Group S-O Code. </w:t>
      </w:r>
      <w:r>
        <w:rPr>
          <w:rFonts w:ascii="Arial" w:cs="Arial" w:eastAsia="Arial" w:hAnsi="Arial"/>
          <w:sz w:val="18"/>
          <w:szCs w:val="18"/>
          <w:color w:val="auto"/>
        </w:rPr>
        <w:t>If a Covered Officer becomes aware of any material violation of the Group S-O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laws and governmental rules and regulations applicable to the operations of Group or its affiliates, he or she must promptly report the violation </w:t>
      </w:r>
      <w:r>
        <w:rPr>
          <w:rFonts w:ascii="Arial" w:cs="Arial" w:eastAsia="Arial" w:hAnsi="Arial"/>
          <w:sz w:val="18"/>
          <w:szCs w:val="18"/>
          <w:b w:val="1"/>
          <w:bCs w:val="1"/>
          <w:color w:val="auto"/>
        </w:rPr>
        <w:t xml:space="preserve">(“Report”) </w:t>
      </w:r>
      <w:r>
        <w:rPr>
          <w:rFonts w:ascii="Arial" w:cs="Arial" w:eastAsia="Arial" w:hAnsi="Arial"/>
          <w:sz w:val="18"/>
          <w:szCs w:val="18"/>
          <w:color w:val="auto"/>
        </w:rPr>
        <w:t>to the Chief Legal Counsel of Group</w:t>
      </w:r>
      <w:r>
        <w:rPr>
          <w:rFonts w:ascii="Arial" w:cs="Arial" w:eastAsia="Arial" w:hAnsi="Arial"/>
          <w:sz w:val="18"/>
          <w:szCs w:val="18"/>
          <w:b w:val="1"/>
          <w:bCs w:val="1"/>
          <w:color w:val="auto"/>
        </w:rPr>
        <w:t xml:space="preserve"> (“CLC”)</w:t>
      </w:r>
      <w:r>
        <w:rPr>
          <w:rFonts w:ascii="Arial" w:cs="Arial" w:eastAsia="Arial" w:hAnsi="Arial"/>
          <w:sz w:val="18"/>
          <w:szCs w:val="18"/>
          <w:color w:val="auto"/>
        </w:rPr>
        <w:t>. Failure to report a material violation will be considered itself a violation of the Group S-O</w:t>
      </w:r>
      <w:r>
        <w:rPr>
          <w:rFonts w:ascii="Arial" w:cs="Arial" w:eastAsia="Arial" w:hAnsi="Arial"/>
          <w:sz w:val="18"/>
          <w:szCs w:val="18"/>
          <w:b w:val="1"/>
          <w:bCs w:val="1"/>
          <w:color w:val="auto"/>
        </w:rPr>
        <w:t xml:space="preserve"> </w:t>
      </w:r>
      <w:r>
        <w:rPr>
          <w:rFonts w:ascii="Arial" w:cs="Arial" w:eastAsia="Arial" w:hAnsi="Arial"/>
          <w:sz w:val="18"/>
          <w:szCs w:val="18"/>
          <w:color w:val="auto"/>
        </w:rPr>
        <w:t>Code.</w:t>
      </w:r>
    </w:p>
    <w:p>
      <w:pPr>
        <w:spacing w:after="0" w:line="76"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It is Group’s policy that no retaliation or other adverse action will be taken against any Covered Officer or other employee of Group or its affiliates based upon any lawful actions of the Covered Officer or employee with respect to a Report made in good faith.</w:t>
      </w:r>
    </w:p>
    <w:p>
      <w:pPr>
        <w:spacing w:after="0" w:line="58" w:lineRule="exact"/>
        <w:rPr>
          <w:sz w:val="20"/>
          <w:szCs w:val="20"/>
          <w:color w:val="auto"/>
        </w:rPr>
      </w:pPr>
    </w:p>
    <w:p>
      <w:pPr>
        <w:ind w:left="240" w:right="800" w:firstLine="225"/>
        <w:spacing w:after="0" w:line="282" w:lineRule="auto"/>
        <w:rPr>
          <w:sz w:val="20"/>
          <w:szCs w:val="20"/>
          <w:color w:val="auto"/>
        </w:rPr>
      </w:pPr>
      <w:r>
        <w:rPr>
          <w:rFonts w:ascii="Arial" w:cs="Arial" w:eastAsia="Arial" w:hAnsi="Arial"/>
          <w:sz w:val="18"/>
          <w:szCs w:val="18"/>
          <w:b w:val="1"/>
          <w:bCs w:val="1"/>
          <w:color w:val="auto"/>
        </w:rPr>
        <w:t xml:space="preserve">F. Annual Disclosures. </w:t>
      </w:r>
      <w:r>
        <w:rPr>
          <w:rFonts w:ascii="Arial" w:cs="Arial" w:eastAsia="Arial" w:hAnsi="Arial"/>
          <w:sz w:val="18"/>
          <w:szCs w:val="18"/>
          <w:color w:val="auto"/>
        </w:rPr>
        <w:t>Each Covered Officer must report, at least annually, all affiliations or other relationships as called for in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Questionnaire for Executive Officers and/or Employee Directors/Trustees of Group and the Price Funds.”</w:t>
      </w:r>
    </w:p>
    <w:p>
      <w:pPr>
        <w:spacing w:after="0" w:line="54" w:lineRule="exact"/>
        <w:rPr>
          <w:sz w:val="20"/>
          <w:szCs w:val="20"/>
          <w:color w:val="auto"/>
        </w:rPr>
      </w:pPr>
    </w:p>
    <w:p>
      <w:pPr>
        <w:ind w:left="240" w:right="40" w:firstLine="225"/>
        <w:spacing w:after="0" w:line="277" w:lineRule="auto"/>
        <w:rPr>
          <w:sz w:val="20"/>
          <w:szCs w:val="20"/>
          <w:color w:val="auto"/>
        </w:rPr>
      </w:pPr>
      <w:r>
        <w:rPr>
          <w:rFonts w:ascii="Arial" w:cs="Arial" w:eastAsia="Arial" w:hAnsi="Arial"/>
          <w:sz w:val="17"/>
          <w:szCs w:val="17"/>
          <w:b w:val="1"/>
          <w:bCs w:val="1"/>
          <w:color w:val="auto"/>
        </w:rPr>
        <w:t xml:space="preserve">G. Complaints Regarding Accounting Matters. </w:t>
      </w:r>
      <w:r>
        <w:rPr>
          <w:rFonts w:ascii="Arial" w:cs="Arial" w:eastAsia="Arial" w:hAnsi="Arial"/>
          <w:sz w:val="17"/>
          <w:szCs w:val="17"/>
          <w:color w:val="auto"/>
        </w:rPr>
        <w:t>The Audit Committee of Group has established procedures</w:t>
      </w:r>
      <w:r>
        <w:rPr>
          <w:rFonts w:ascii="Arial" w:cs="Arial" w:eastAsia="Arial" w:hAnsi="Arial"/>
          <w:sz w:val="17"/>
          <w:szCs w:val="17"/>
          <w:b w:val="1"/>
          <w:bCs w:val="1"/>
          <w:color w:val="auto"/>
        </w:rPr>
        <w:t xml:space="preserve"> (“Procedures”) </w:t>
      </w:r>
      <w:r>
        <w:rPr>
          <w:rFonts w:ascii="Arial" w:cs="Arial" w:eastAsia="Arial" w:hAnsi="Arial"/>
          <w:sz w:val="17"/>
          <w:szCs w:val="17"/>
          <w:color w:val="auto"/>
        </w:rPr>
        <w:t>for the submission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complaints submitted by employees, including Covered Officers, regarding the reporting of questionable accounting or auditing matters relating to Group. Under these Procedures, Covered Officers and employees may anonymously and confidentially submit complaints to the CLC. Covered Officers, as supervisors, are obligated to report any questionable accounting, internal accounting control or auditing matters and may do so pursuant to these Procedures. Employees will also be reminded of these Procedures on an annual basis.</w:t>
      </w:r>
    </w:p>
    <w:p>
      <w:pPr>
        <w:spacing w:after="0" w:line="60"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V. Administration of the Group S-O Code. </w:t>
      </w:r>
      <w:r>
        <w:rPr>
          <w:rFonts w:ascii="Arial" w:cs="Arial" w:eastAsia="Arial" w:hAnsi="Arial"/>
          <w:sz w:val="18"/>
          <w:szCs w:val="18"/>
          <w:color w:val="auto"/>
        </w:rPr>
        <w:t>The Ethics Committee is responsible for the general administration of the Group S-O Code and applying 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to specific situations in which questions are presented.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left="240" w:firstLine="225"/>
        <w:spacing w:after="0" w:line="273" w:lineRule="auto"/>
        <w:rPr>
          <w:sz w:val="20"/>
          <w:szCs w:val="20"/>
          <w:color w:val="auto"/>
        </w:rPr>
      </w:pPr>
      <w:r>
        <w:rPr>
          <w:rFonts w:ascii="Arial" w:cs="Arial" w:eastAsia="Arial" w:hAnsi="Arial"/>
          <w:sz w:val="17"/>
          <w:szCs w:val="17"/>
          <w:b w:val="1"/>
          <w:bCs w:val="1"/>
          <w:color w:val="auto"/>
        </w:rPr>
        <w:t xml:space="preserve">A. Waivers and Interpretations. </w:t>
      </w:r>
      <w:r>
        <w:rPr>
          <w:rFonts w:ascii="Arial" w:cs="Arial" w:eastAsia="Arial" w:hAnsi="Arial"/>
          <w:sz w:val="17"/>
          <w:szCs w:val="17"/>
          <w:color w:val="auto"/>
        </w:rPr>
        <w:t>The Chairperson of the Ethics Committee has the authority to interpret the Group S-O Code in any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situation and to grant waivers where justified, subject to the approval of the Audit Committee of Group. All material interpretations concerning Covered Officers will be reported to the Audit Committee of Group at its next meeting. Waivers, including implicit waivers, to Covered Officers will be publicly disclosed as required by Form 8-K and Section 229.406 of the Code of Federal Regulations. Pursuant to the definition in the Regulations, an implicit waiver means Group’s failure to take action within a reasonable period of time regarding a material departure from a provision of the Group S-O Code that has been made known to an “executive officer” (as defined in Rule 3b-7 under the Securities Exchange Act of 1934) of Group. An executive officer of Group includes its president and any vice-president in charge of a principal business unit, division or function.</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Violations/Investigations. </w:t>
      </w:r>
      <w:r>
        <w:rPr>
          <w:rFonts w:ascii="Arial" w:cs="Arial" w:eastAsia="Arial" w:hAnsi="Arial"/>
          <w:sz w:val="18"/>
          <w:szCs w:val="18"/>
          <w:color w:val="auto"/>
        </w:rPr>
        <w:t>The following procedures will be followed in investigating and enforcing the Group S-O Code:</w:t>
      </w:r>
    </w:p>
    <w:p>
      <w:pPr>
        <w:spacing w:after="0" w:line="121" w:lineRule="exact"/>
        <w:rPr>
          <w:sz w:val="20"/>
          <w:szCs w:val="20"/>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CLC will take or cause to be taken appropriate action to investigate any potential or actual violation reported to him or her.</w:t>
      </w:r>
    </w:p>
    <w:p>
      <w:pPr>
        <w:spacing w:after="0" w:line="113" w:lineRule="exact"/>
        <w:rPr>
          <w:rFonts w:ascii="Arial" w:cs="Arial" w:eastAsia="Arial" w:hAnsi="Arial"/>
          <w:sz w:val="18"/>
          <w:szCs w:val="18"/>
          <w:color w:val="auto"/>
        </w:rPr>
      </w:pPr>
    </w:p>
    <w:p>
      <w:pPr>
        <w:ind w:left="460" w:firstLine="4"/>
        <w:spacing w:after="0" w:line="26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CLC, after consultation if deemed appropriate with Corporate Counsel to Group </w:t>
      </w:r>
      <w:r>
        <w:rPr>
          <w:rFonts w:ascii="Arial" w:cs="Arial" w:eastAsia="Arial" w:hAnsi="Arial"/>
          <w:sz w:val="18"/>
          <w:szCs w:val="18"/>
          <w:b w:val="1"/>
          <w:bCs w:val="1"/>
          <w:color w:val="auto"/>
        </w:rPr>
        <w:t>(“CC”)</w:t>
      </w:r>
      <w:r>
        <w:rPr>
          <w:rFonts w:ascii="Arial" w:cs="Arial" w:eastAsia="Arial" w:hAnsi="Arial"/>
          <w:sz w:val="18"/>
          <w:szCs w:val="18"/>
          <w:color w:val="auto"/>
        </w:rPr>
        <w:t>, will make a recommendation to Group’s Board regarding the action to be taken with regard to each material violation. Such action could include any of the following: a letter of censure or suspension, a fine, a suspension of trading privileges or termination of officership or employment. In addition, the violator may be required to surrender any profit realized (or loss avoided) from any activity that is in violation of the Group S-O Code.</w:t>
      </w:r>
    </w:p>
    <w:p>
      <w:pPr>
        <w:spacing w:after="0" w:line="72"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 xml:space="preserve">VI. Amendments to the Group S-O Code. </w:t>
      </w:r>
      <w:r>
        <w:rPr>
          <w:rFonts w:ascii="Arial" w:cs="Arial" w:eastAsia="Arial" w:hAnsi="Arial"/>
          <w:sz w:val="17"/>
          <w:szCs w:val="17"/>
          <w:color w:val="auto"/>
        </w:rPr>
        <w:t>Except as to the contents of</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the Group S-O Code may not be materially amended except in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form, which is specifically approved or ratified by a majority vote of Group’s Board, including a majority of its independent directors.</w:t>
      </w:r>
    </w:p>
    <w:p>
      <w:pPr>
        <w:spacing w:after="0" w:line="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VII. Confidentiality. </w:t>
      </w:r>
      <w:r>
        <w:rPr>
          <w:rFonts w:ascii="Arial" w:cs="Arial" w:eastAsia="Arial" w:hAnsi="Arial"/>
          <w:sz w:val="18"/>
          <w:szCs w:val="18"/>
          <w:color w:val="auto"/>
        </w:rPr>
        <w:t>All reports and records prepared or maintained pursuant to the Group S-O Code will be considered confidential and shall be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protected accordingly. Except as otherwise required by law, the Group S-O Code or as necessary in connection with investigations under the Group S-O Code, such matters shall not be disclosed to anyone other than the members of Group’s Board, members of the Ethics Committee, the CC and the CLC and authorized persons on his or her staff.</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Preparation Date: 9/30/03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Adoption Date: 10/20/03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left="414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Persons Covered by the Group S-O Code of Ethics</w:t>
      </w:r>
    </w:p>
    <w:p>
      <w:pPr>
        <w:spacing w:after="0" w:line="39" w:lineRule="exact"/>
        <w:rPr>
          <w:sz w:val="20"/>
          <w:szCs w:val="20"/>
          <w:color w:val="auto"/>
        </w:rPr>
      </w:pPr>
    </w:p>
    <w:p>
      <w:pPr>
        <w:jc w:val="center"/>
        <w:ind w:left="2180" w:right="2179"/>
        <w:spacing w:after="0" w:line="378" w:lineRule="auto"/>
        <w:rPr>
          <w:sz w:val="20"/>
          <w:szCs w:val="20"/>
          <w:color w:val="auto"/>
        </w:rPr>
      </w:pPr>
      <w:r>
        <w:rPr>
          <w:rFonts w:ascii="Arial" w:cs="Arial" w:eastAsia="Arial" w:hAnsi="Arial"/>
          <w:sz w:val="18"/>
          <w:szCs w:val="18"/>
          <w:b w:val="1"/>
          <w:bCs w:val="1"/>
          <w:i w:val="1"/>
          <w:iCs w:val="1"/>
          <w:color w:val="auto"/>
        </w:rPr>
        <w:t xml:space="preserve">(exhibit effective March 1, 2010) </w:t>
      </w:r>
      <w:r>
        <w:rPr>
          <w:rFonts w:ascii="Arial" w:cs="Arial" w:eastAsia="Arial" w:hAnsi="Arial"/>
          <w:sz w:val="18"/>
          <w:szCs w:val="18"/>
          <w:b w:val="1"/>
          <w:bCs w:val="1"/>
          <w:color w:val="auto"/>
        </w:rPr>
        <w:t>James A. C. Kennedy, Chief Executive Officer and President Kenneth V. Moreland, Chief Financial Officer Jessica M. Hiebler, Principal Accounting Officer Timothy S. Dignan, Controller and Assistant Treasurer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958"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Exhibit 15 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23, 2010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ectPr>
          <w:pgSz w:w="11900" w:h="16838" w:orient="portrait"/>
          <w:cols w:equalWidth="0" w:num="1">
            <w:col w:w="11280"/>
          </w:cols>
          <w:pgMar w:left="240" w:top="121" w:right="379" w:bottom="1440" w:gutter="0" w:footer="0" w:header="0"/>
        </w:sectPr>
      </w:pPr>
    </w:p>
    <w:bookmarkStart w:id="21" w:name="page22"/>
    <w:bookmarkEnd w:id="21"/>
    <w:p>
      <w:pPr>
        <w:spacing w:after="0"/>
        <w:tabs>
          <w:tab w:leader="none" w:pos="346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2010, of T. Rowe Price Group, Inc.;</w:t>
      </w:r>
    </w:p>
    <w:p>
      <w:pPr>
        <w:spacing w:after="0" w:line="130" w:lineRule="exact"/>
        <w:rPr>
          <w:rFonts w:ascii="Arial" w:cs="Arial" w:eastAsia="Arial" w:hAnsi="Arial"/>
          <w:sz w:val="18"/>
          <w:szCs w:val="18"/>
          <w:color w:val="auto"/>
        </w:rPr>
      </w:pPr>
    </w:p>
    <w:p>
      <w:pPr>
        <w:ind w:left="340" w:right="6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280" w:firstLine="215"/>
        <w:spacing w:after="0" w:line="264" w:lineRule="auto"/>
        <w:tabs>
          <w:tab w:leader="none" w:pos="83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480" w:firstLine="215"/>
        <w:spacing w:after="0" w:line="264"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840" w:firstLine="215"/>
        <w:spacing w:after="0" w:line="342" w:lineRule="auto"/>
        <w:tabs>
          <w:tab w:leader="none" w:pos="83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320" w:firstLine="215"/>
        <w:spacing w:after="0" w:line="342" w:lineRule="auto"/>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4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220" w:firstLine="215"/>
        <w:spacing w:after="0" w:line="277" w:lineRule="auto"/>
        <w:tabs>
          <w:tab w:leader="none" w:pos="83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80" w:firstLine="215"/>
        <w:spacing w:after="0" w:line="277"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60"/>
          </w:cols>
          <w:pgMar w:left="240" w:top="337" w:right="299" w:bottom="1440" w:gutter="0" w:footer="0" w:header="0"/>
        </w:sectPr>
      </w:pPr>
    </w:p>
    <w:bookmarkStart w:id="22" w:name="page23"/>
    <w:bookmarkEnd w:id="22"/>
    <w:p>
      <w:pPr>
        <w:spacing w:after="0"/>
        <w:tabs>
          <w:tab w:leader="none" w:pos="348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2010, of T. Rowe Price Group, Inc.;</w:t>
      </w:r>
    </w:p>
    <w:p>
      <w:pPr>
        <w:spacing w:after="0" w:line="130" w:lineRule="exact"/>
        <w:rPr>
          <w:rFonts w:ascii="Arial" w:cs="Arial" w:eastAsia="Arial" w:hAnsi="Arial"/>
          <w:sz w:val="18"/>
          <w:szCs w:val="18"/>
          <w:color w:val="auto"/>
        </w:rPr>
      </w:pPr>
    </w:p>
    <w:p>
      <w:pPr>
        <w:ind w:left="340" w:right="6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280" w:firstLine="215"/>
        <w:spacing w:after="0" w:line="264" w:lineRule="auto"/>
        <w:tabs>
          <w:tab w:leader="none" w:pos="83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480" w:firstLine="215"/>
        <w:spacing w:after="0" w:line="264"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840" w:firstLine="215"/>
        <w:spacing w:after="0" w:line="342" w:lineRule="auto"/>
        <w:tabs>
          <w:tab w:leader="none" w:pos="83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320" w:firstLine="215"/>
        <w:spacing w:after="0" w:line="342" w:lineRule="auto"/>
        <w:tabs>
          <w:tab w:leader="none" w:pos="84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4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220" w:firstLine="215"/>
        <w:spacing w:after="0" w:line="277" w:lineRule="auto"/>
        <w:tabs>
          <w:tab w:leader="none" w:pos="83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80" w:firstLine="215"/>
        <w:spacing w:after="0" w:line="277"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360"/>
          </w:cols>
          <w:pgMar w:left="240" w:top="337" w:right="299" w:bottom="1440" w:gutter="0" w:footer="0" w:header="0"/>
        </w:sectPr>
      </w:pPr>
    </w:p>
    <w:bookmarkStart w:id="23" w:name="page24"/>
    <w:bookmarkEnd w:id="23"/>
    <w:p>
      <w:pPr>
        <w:spacing w:after="0"/>
        <w:tabs>
          <w:tab w:leader="none" w:pos="468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2010, of T. Rowe Price Group, Inc., that:</w:t>
      </w:r>
    </w:p>
    <w:p>
      <w:pPr>
        <w:spacing w:after="0" w:line="6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20" w:firstLine="8"/>
        <w:spacing w:after="0" w:line="277"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337"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449060"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4906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680"/>
        <w:spacing w:after="0" w:line="400" w:lineRule="auto"/>
        <w:rPr>
          <w:sz w:val="20"/>
          <w:szCs w:val="20"/>
          <w:color w:val="auto"/>
        </w:rPr>
      </w:pPr>
      <w:r>
        <w:rPr>
          <w:rFonts w:ascii="Arial" w:cs="Arial" w:eastAsia="Arial" w:hAnsi="Arial"/>
          <w:sz w:val="17"/>
          <w:szCs w:val="17"/>
          <w:b w:val="1"/>
          <w:bCs w:val="1"/>
          <w:color w:val="auto"/>
        </w:rPr>
        <w:t xml:space="preserve">T. ROWE PRICE GROUP REPORTS FIRST QUARTER 2010 RESULTS </w:t>
      </w:r>
      <w:r>
        <w:rPr>
          <w:rFonts w:ascii="Arial" w:cs="Arial" w:eastAsia="Arial" w:hAnsi="Arial"/>
          <w:sz w:val="17"/>
          <w:szCs w:val="17"/>
          <w:b w:val="1"/>
          <w:bCs w:val="1"/>
          <w:i w:val="1"/>
          <w:iCs w:val="1"/>
          <w:color w:val="auto"/>
        </w:rPr>
        <w:t>Assets Under Management Reach Record Level of $419 Billion</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BALTIMORE (April 23, 2010) — T. Rowe Price Group, Inc. (NASDAQ-GS: TROW) today reported its first quarter 2010 results, including net revenues of $556.2 million, net income of $153.0 million, and diluted earnings per common share of $.57. On a comparable basis, net revenues were $384.5 million in the first quarter of 2009 when net income was $48.2 million and diluted earnings per common share was $.19.</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Assets under management totaled a record $419.0 billion at March 31, 2010, an increase of $27.7 billion from $391.3 billion at December 31, 2009, and up $150.2 billion from $268.8 billion at March 31, 2009. At March 31, 2010, assets under management include $249.5 billion in the T. Rowe Price mutual funds distributed in the United States and $169.5 billion in other managed investment portfolios. Record quarterly net cash inflows in the first quarter of 2010 totaled $10.3 billion, while higher market valuations and income added $17.4 billion to assets under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Total investment advisory revenues were $471.8 million in the first quarter of 2010, an increase of 53.8%, or $165.0 million, from the comparable 2009 quarter. Relative to the prior year’s quarter, investment advisory revenues earned from the T. Rowe Price mutual funds distributed in the U.S. increased</w:t>
      </w:r>
    </w:p>
    <w:p>
      <w:pPr>
        <w:spacing w:after="0"/>
        <w:rPr>
          <w:sz w:val="20"/>
          <w:szCs w:val="20"/>
          <w:color w:val="auto"/>
        </w:rPr>
      </w:pPr>
      <w:r>
        <w:rPr>
          <w:rFonts w:ascii="Arial" w:cs="Arial" w:eastAsia="Arial" w:hAnsi="Arial"/>
          <w:sz w:val="16"/>
          <w:szCs w:val="16"/>
          <w:color w:val="auto"/>
        </w:rPr>
        <w:t>53.7%, or $113.7 million, to $325.4 million. Average mutual fund assets under management in the first quarter of 2010 were $237.3 billion,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50.9% from the average for the 2009 quarter. Mutual fund assets at March 31, 2010 were $249.5 billion, an increase of 7.2% or $16.8 billion from the end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and $12.2 billion higher than the first quarter 2010 average.</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inflows to the mutual funds were $6.1 billion during the first quarter of 2010. Our stock funds had net inflows of $3.4 billion. The Value, Mid-Cap Value, Mid-Cap Growth, and Equity Index 500 funds each added at least $400 million for a total of $2.0 billion in net investments. The New Income Fund accounted for $1.0 billion of the $3.0 billion of net inflows added by the bond funds. Money market funds had net outflows of $300 million. Higher market valuations and income increased mutual fund assets under management by $10.7 billion during the first quarter of 2010.</w:t>
      </w:r>
    </w:p>
    <w:p>
      <w:pPr>
        <w:spacing w:after="0" w:line="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Investment advisory revenues earned from other managed investment portfolios were $146.4 million in the 2010 quarter, an increase of $51.3 million from the comparable 2009 quarter. Average assets in these portfolios were $159.6 billion during the first quarter of 2010, an increase of $52.1 billion or 48.5% from the 2009 quarter. Net inflows of $4.2 billion, primarily from institutional investors located outside the United States and third-party financial intermediaries, and $6.7 billion in higher market valuations and income increased assets under management in these portfolios by $10.9 billion in the first quarter of 2010. Investors outside the United States account for 12% of the firm’s assets under management at March 31, 2010.</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target-date retirement investment portfolios continue to be a significant source of assets under management. During the first quarter of 2010, net inflows of $2.4 billion originated in these portfolios. Assets in the target-date retirement portfolios were $48.3 billion at March 31, 2010, accounting for 12% of the firm’s assets under management and 19% of its mutual fund assets.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expenses were $317.5 million in the first quarter of 2010, up $43.6 million from the 2009 quarter. Compensation and related costs increased $32.3 million or 18.4% from the comparable 2009 quarter. The increase is primarily a result of a higher interim accrual for our 2010 annual variable compensation programs, which are based on operating results and other factors such as the relative risk-adjusted investment performance, the growth in assets under management and net investor inflows, and the high quality of investor services. At March 31, 2010, the firm employed 4,779 associates, down 8.6% from a year-ago and virtually unchanged from the end of 2009.</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Advertising and promotion expenditures were $23.5 million in the first quarter of 2010, up slightly from the 2009 quarter and relatively flat compared to the fourth quarter of 2009. The firm estimates that its advertising and promotion expenditures for the second quarter of 2010 will increase about $10 million from the comparable 2009 quarter and spending for the full year 2010 could increase up to 30% from 2009. The firm varies its level of spending based on market conditions and investor demand as well as its efforts to expand the investor base.</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operating expenses increased $11.5 million, or 34.1% from the first quarter of 2009, including $4.0 million of higher distribution and service expenses recognized on greater assets under management that are sourced from financial intermediaries. These distribution and service expenses are offset by an equal increase in our administrative revenues recognized from 12b-1 fees. Additionally, travel costs, consulting fees and other professional services have risen to meet increased business demands.</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Non-operating investment activity in the first quarter of 2010 resulted in a net gain of $5.3 million versus a net loss of $36.0 million in the comparable 2009 period. The 2009 period included a non-cash charge of $35.6 million for the other than temporary impairment of certain of the firm’s investments in sponsored mutual funds.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first quarter 2010 provision for income taxes as a percentage of pretax income is 37.3%, up slightly from the 37.1% for the year 2009. The firm presently estimates that the effective tax rate for 2010 will be about 37.8%.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90% of the T. Rowe Price funds across their share classes outperforming their comparable Lipper averages on a total return basis for the 5-year period ended March 31, 2010, 83% outperforming for the three-year period, 77% outperforming for the 10-year period, and 73% outperforming for the one-year period. In addition, T. Rowe Price stock, bond and blended asset funds that ended the quarter with an overall rating of four or five stars from Morningstar account for more than 76% of our rated funds’ assets under management.</w:t>
      </w:r>
    </w:p>
    <w:p>
      <w:pPr>
        <w:spacing w:after="0" w:line="8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first quarter results were achieved during a period of strong market performance that further extended the rally that started a year ago, and saw the U.S. equity market in March reach an 18-month high. Assets under management at the firm hit a record level at the end of the quarter, while average assets under management for the quarter nearly reached their fourth quarter of 2007 high. With the tailwind of both net new client inflows and market gains, our net revenues and net income also continue in strong recovery mode, although they remain below their year-end 2007 peak.</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remain debt-free with substantial liquidity, including cash and mutual fund investment holdings of nearly $1.5 billion that supports our ability to take advantage of attractive growth opportunities and continue investing in key capabilities and talent. On January 20, 2010, the firm completed the previously announced acquisition of a 26% equity interest in UTI Asset Management Company and an affiliate from existing stockholders for 6.5 billion Indian Rupees (INR) or $142.4 million, plus transaction costs of $3.2 million.</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first quarter we also expended $33 million to repurchase 666,000 shares of our common stock. Based on current strategic projects and plans, the company’s capital expenditures for all of 2010 are estimated to be about $150 million, including $25 million invested in facilities and technology equipment in the first quarter of the year. These cash expenditures are funded from our available liquid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“Global fiscal and monetary stimulus have done a great deal to restore confidence in the stability of the world’s economies. Investors have also become more confident about the prospects for a sustained — albeit gradual — economic recovery, and companies and consumers are repairing their balance sheets. Valuations, while no longer as compelling as they had been, are reasonable. Although there is still plenty of uncertainty, we remain positive on the market’s prospects and believe that equity markets continue to offer attractive opportunities for the long-term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closing, Mr. Kennedy said, “We remain focused on serving our clients, and are thankful for the confidence they continue to place in us — as evidenced by our level of assets under management, as well as by this quarter’s record cash flows. We will continue to invest strategically in our client, investment, risk management, and technology capabilities, while closely managing our costs and creating efficiencies. With our solid reputation, our broad pool of talented associates, our globally diversified investment and distribution capabilities, and our healthy balance sheet, the long-term outlook for T. Rowe Price remains strong.”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2010 with the U.S. Securities and Exchange Commission later today. The Form 10-Q will include additional information on the firm’s unaudited financial results at March 31, 2010.</w:t>
      </w:r>
    </w:p>
    <w:p>
      <w:pPr>
        <w:spacing w:after="0" w:line="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and expense savings, estimated tax rates, and expectations regarding financial results, future transactions, investments, capital expenditures, and other market conditions. For a discussion concerning risks and other factors that could affect future results, see the firm’s 2009 Form 10-K reports.</w:t>
      </w:r>
    </w:p>
    <w:p>
      <w:pPr>
        <w:spacing w:after="0" w:line="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w w:val="94"/>
              </w:rPr>
              <w:t>3/31/09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w w:val="94"/>
              </w:rPr>
              <w:t>3/31/10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Non-operating investment income (loss)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vMerge w:val="restart"/>
          </w:tcPr>
          <w:p>
            <w:pPr>
              <w:jc w:val="right"/>
              <w:ind w:right="3330"/>
              <w:spacing w:after="0"/>
              <w:rPr>
                <w:sz w:val="20"/>
                <w:szCs w:val="20"/>
                <w:color w:val="auto"/>
              </w:rPr>
            </w:pPr>
            <w:r>
              <w:rPr>
                <w:rFonts w:ascii="Arial" w:cs="Arial" w:eastAsia="Arial" w:hAnsi="Arial"/>
                <w:sz w:val="18"/>
                <w:szCs w:val="18"/>
                <w:color w:val="auto"/>
              </w:rPr>
              <w:t>- 3 -</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95.1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vMerge w:val="restart"/>
          </w:tcPr>
          <w:p>
            <w:pPr>
              <w:ind w:left="340"/>
              <w:spacing w:after="0"/>
              <w:rPr>
                <w:sz w:val="20"/>
                <w:szCs w:val="20"/>
                <w:color w:val="auto"/>
              </w:rPr>
            </w:pPr>
            <w:r>
              <w:rPr>
                <w:rFonts w:ascii="Arial" w:cs="Arial" w:eastAsia="Arial" w:hAnsi="Arial"/>
                <w:sz w:val="14"/>
                <w:szCs w:val="14"/>
                <w:color w:val="auto"/>
                <w:w w:val="91"/>
              </w:rPr>
              <w:t>12/31/2009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Stock and blended asset portfolios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139.4</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4"/>
              </w:rPr>
              <w:t>Cash used in investing activities, including $(25.0) for additions to property and equipment and $(143.6) for investment</w:t>
            </w: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UTI Asset Management Company Limited in 2010</w:t>
            </w: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4"/>
              </w:rPr>
              <w:t>Cash used in financing activities, including common stock repurchases of $(32.7) and dividends paid of $(70.0) in 2010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3/31/2010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investments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jc w:val="right"/>
              <w:ind w:right="350"/>
              <w:spacing w:after="0"/>
              <w:rPr>
                <w:sz w:val="20"/>
                <w:szCs w:val="20"/>
                <w:color w:val="auto"/>
              </w:rPr>
            </w:pPr>
            <w:r>
              <w:rPr>
                <w:rFonts w:ascii="Arial" w:cs="Arial" w:eastAsia="Arial" w:hAnsi="Arial"/>
                <w:sz w:val="18"/>
                <w:szCs w:val="18"/>
                <w:color w:val="auto"/>
                <w:w w:val="91"/>
              </w:rPr>
              <w:t>Stockholders’ equity, 259.4 common shares outstanding in 2010, including net unrealized holding gains of $113.5 in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8840" w:type="dxa"/>
            <w:vAlign w:val="bottom"/>
          </w:tcPr>
          <w:p>
            <w:pPr>
              <w:jc w:val="right"/>
              <w:ind w:right="8170"/>
              <w:spacing w:after="0"/>
              <w:rPr>
                <w:sz w:val="20"/>
                <w:szCs w:val="20"/>
                <w:color w:val="auto"/>
              </w:rPr>
            </w:pPr>
            <w:r>
              <w:rPr>
                <w:rFonts w:ascii="Arial" w:cs="Arial" w:eastAsia="Arial" w:hAnsi="Arial"/>
                <w:sz w:val="18"/>
                <w:szCs w:val="18"/>
                <w:color w:val="auto"/>
              </w:rPr>
              <w:t>2010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$ 2,882.2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$ 3,006.9</w:t>
            </w:r>
          </w:p>
        </w:tc>
      </w:tr>
      <w:tr>
        <w:trPr>
          <w:trHeight w:val="412"/>
        </w:trPr>
        <w:tc>
          <w:tcPr>
            <w:tcW w:w="8840" w:type="dxa"/>
            <w:vAlign w:val="bottom"/>
          </w:tcPr>
          <w:p>
            <w:pPr>
              <w:jc w:val="right"/>
              <w:ind w:right="2890"/>
              <w:spacing w:after="0"/>
              <w:rPr>
                <w:sz w:val="20"/>
                <w:szCs w:val="20"/>
                <w:color w:val="auto"/>
              </w:rPr>
            </w:pPr>
            <w:r>
              <w:rPr>
                <w:rFonts w:ascii="Arial" w:cs="Arial" w:eastAsia="Arial" w:hAnsi="Arial"/>
                <w:sz w:val="18"/>
                <w:szCs w:val="18"/>
                <w:color w:val="auto"/>
              </w:rPr>
              <w:t>- 4 -</w:t>
            </w:r>
          </w:p>
        </w:tc>
        <w:tc>
          <w:tcPr>
            <w:tcW w:w="4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4"/>
    </w:lvl>
  </w:abstractNum>
  <w:abstractNum w:abstractNumId="1">
    <w:nsid w:val="46E87CCD"/>
    <w:multiLevelType w:val="hybridMultilevel"/>
    <w:lvl w:ilvl="0">
      <w:lvlJc w:val="left"/>
      <w:lvlText w:val="%1"/>
      <w:numFmt w:val="decimal"/>
      <w:start w:val="101"/>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2019-12-10T19:06:31Z</dcterms:created>
  <dcterms:modified xsi:type="dcterms:W3CDTF">2019-12-10T19:06:31Z</dcterms:modified>
</cp:coreProperties>
</file>