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801"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801"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801"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801"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801"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801"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22, 2013, is 259,338,527</w:t>
      </w:r>
      <w:r>
        <w:rPr>
          <w:rFonts w:ascii="Arial" w:cs="Arial" w:eastAsia="Arial" w:hAnsi="Arial"/>
          <w:sz w:val="16"/>
          <w:szCs w:val="16"/>
          <w:b w:val="1"/>
          <w:bCs w:val="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801"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12/31/2012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3/31/2013</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364.6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563.0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110.2</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4,610.6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135.8</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Customer deposits at savings bank subsidiary</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149.5</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503.6</w:t>
            </w:r>
          </w:p>
        </w:tc>
      </w:tr>
      <w:tr>
        <w:trPr>
          <w:trHeight w:val="318"/>
        </w:trPr>
        <w:tc>
          <w:tcPr>
            <w:tcW w:w="8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$.20 par value - authorized 750,000,000; issued 257,018,000 shares in 2012 and 259,257,000 in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738.1</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4,107.0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4,202.8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4,610.6</w:t>
            </w: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364"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3/31/2012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3/31/2013</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fees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Distribution and servicing fees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 of savings bank subsidiary</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728.7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 and servicing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Occupancy and facility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ind w:left="5480"/>
              <w:spacing w:after="0"/>
              <w:rPr>
                <w:sz w:val="20"/>
                <w:szCs w:val="20"/>
                <w:color w:val="auto"/>
              </w:rPr>
            </w:pPr>
            <w:r>
              <w:rPr>
                <w:rFonts w:ascii="Arial" w:cs="Arial" w:eastAsia="Arial" w:hAnsi="Arial"/>
                <w:sz w:val="18"/>
                <w:szCs w:val="18"/>
                <w:color w:val="auto"/>
              </w:rPr>
              <w:t>Page 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3/31/2012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3/31/2013</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holding gains 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Investments in sponsored funds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holding gains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r>
      <w:tr>
        <w:trPr>
          <w:trHeight w:val="229"/>
        </w:trPr>
        <w:tc>
          <w:tcPr>
            <w:tcW w:w="8580" w:type="dxa"/>
            <w:vAlign w:val="bottom"/>
          </w:tcPr>
          <w:p>
            <w:pPr>
              <w:ind w:left="280"/>
              <w:spacing w:after="0"/>
              <w:rPr>
                <w:sz w:val="20"/>
                <w:szCs w:val="20"/>
                <w:color w:val="auto"/>
              </w:rPr>
            </w:pPr>
            <w:r>
              <w:rPr>
                <w:rFonts w:ascii="Arial" w:cs="Arial" w:eastAsia="Arial" w:hAnsi="Arial"/>
                <w:sz w:val="18"/>
                <w:szCs w:val="18"/>
                <w:color w:val="auto"/>
              </w:rPr>
              <w:t>Reclassification adjustment recognized in non-operating investment income: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sponsored funds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Debt securities held by savings bank subsidiary</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Proportionate share of net unrealized holding gains on securities held by UTI Asset Management Company Limited</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net unrealized holding gains recognized in other comprehensive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other comprehensive income before income taxes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364" w:right="239" w:bottom="1440" w:gutter="0" w:footer="0" w:header="0"/>
        </w:sectPr>
      </w:pPr>
    </w:p>
    <w:bookmarkStart w:id="4" w:name="page5"/>
    <w:bookmarkEnd w:id="4"/>
    <w:p>
      <w:pPr>
        <w:ind w:right="4860"/>
        <w:spacing w:after="0" w:line="282"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3/31/2012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3/31/2013</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241.9</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21.5</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Realized gains on dispositions of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Changes in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184.6</w:t>
            </w:r>
          </w:p>
        </w:tc>
      </w:tr>
      <w:tr>
        <w:trPr>
          <w:trHeight w:val="237"/>
        </w:trPr>
        <w:tc>
          <w:tcPr>
            <w:tcW w:w="856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459.4</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Dispositions of sponsored funds</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23.9</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debt securities held by savings bank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Proceeds from debt securities held by savings bank subsidiary</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Other investing activity</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70.2</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(98.7)</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savings bank subsidiary deposits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856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406.8</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At beginning of year</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879.1</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364" w:right="259" w:bottom="1440" w:gutter="0" w:footer="0" w:header="0"/>
        </w:sectPr>
      </w:pPr>
    </w:p>
    <w:bookmarkStart w:id="5" w:name="page6"/>
    <w:bookmarkEnd w:id="5"/>
    <w:p>
      <w:pPr>
        <w:ind w:right="382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9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capital in</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Retained</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w:t>
            </w:r>
          </w:p>
        </w:tc>
        <w:tc>
          <w:tcPr>
            <w:tcW w:w="24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excess of</w:t>
            </w:r>
          </w:p>
        </w:tc>
        <w:tc>
          <w:tcPr>
            <w:tcW w:w="24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87"/>
              </w:rPr>
              <w:t>stock</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4"/>
              </w:rPr>
              <w:t>par value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right="94"/>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Balances at December 31, 2012</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257,018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3,031.8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3,846.1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w w:val="95"/>
              </w:rPr>
              <w:t>Common stock-based compensation plans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activity</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issued upon option exercises</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9"/>
        </w:trPr>
        <w:tc>
          <w:tcPr>
            <w:tcW w:w="3320" w:type="dxa"/>
            <w:vAlign w:val="bottom"/>
          </w:tcPr>
          <w:p>
            <w:pPr>
              <w:ind w:left="280"/>
              <w:spacing w:after="0"/>
              <w:rPr>
                <w:sz w:val="20"/>
                <w:szCs w:val="20"/>
                <w:color w:val="auto"/>
              </w:rPr>
            </w:pPr>
            <w:r>
              <w:rPr>
                <w:rFonts w:ascii="Arial" w:cs="Arial" w:eastAsia="Arial" w:hAnsi="Arial"/>
                <w:sz w:val="18"/>
                <w:szCs w:val="18"/>
                <w:color w:val="auto"/>
                <w:w w:val="97"/>
              </w:rPr>
              <w:t>Restricted shares issued, net of shares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80"/>
              <w:spacing w:after="0"/>
              <w:rPr>
                <w:sz w:val="20"/>
                <w:szCs w:val="20"/>
                <w:color w:val="auto"/>
              </w:rPr>
            </w:pPr>
            <w:r>
              <w:rPr>
                <w:rFonts w:ascii="Arial" w:cs="Arial" w:eastAsia="Arial" w:hAnsi="Arial"/>
                <w:sz w:val="18"/>
                <w:szCs w:val="18"/>
                <w:color w:val="auto"/>
              </w:rPr>
              <w:t>withheld for taxes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Shares issued upon vesting of restricted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units</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Forfeiture of restricted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tax benefits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March 31, 2013</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259,257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3,175.0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4,107.0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00"/>
          </w:cols>
          <w:pgMar w:left="240" w:top="36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items have been reclassed to conform to current year presentation.</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2012 Annual Report.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1, 2013, we adopted new financial reporting guidance that requires the disclosure of information about significant items reclassified out of accumulated other comprehensive income, including the line item of our consolidated income statements to which such items were reclassified. The required information could be presented either on the face of the financial statements or in the notes. We elected to present these disclosures in Note 9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$184.0 million at December 31, 2012, and $197.6 million at March 31,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3/31/2012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3/31/2013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mutual funds in the 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398.9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w:t>
            </w: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490.6</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171.1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212.3</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10"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Average during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40" w:type="dxa"/>
            <w:vAlign w:val="bottom"/>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the first quarter of</w:t>
            </w: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7"/>
              </w:rPr>
              <w:t>As of</w:t>
            </w:r>
          </w:p>
        </w:tc>
        <w:tc>
          <w:tcPr>
            <w:tcW w:w="1200" w:type="dxa"/>
            <w:vAlign w:val="bottom"/>
            <w:tcBorders>
              <w:bottom w:val="single" w:sz="8" w:color="auto"/>
            </w:tcBorders>
            <w:shd w:val="clear" w:color="auto" w:fill="CCEEFF"/>
          </w:tcPr>
          <w:p>
            <w:pPr>
              <w:spacing w:after="0"/>
              <w:rPr>
                <w:sz w:val="22"/>
                <w:szCs w:val="22"/>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12/31/2012</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3/31/2013</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mutual funds in the 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256.9</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284.2</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and money market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w:t>
            </w:r>
          </w:p>
        </w:tc>
      </w:tr>
      <w:tr>
        <w:trPr>
          <w:trHeight w:val="237"/>
        </w:trPr>
        <w:tc>
          <w:tcPr>
            <w:tcW w:w="50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377.0</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portfolios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175.4</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r>
      <w:tr>
        <w:trPr>
          <w:trHeight w:val="237"/>
        </w:trPr>
        <w:tc>
          <w:tcPr>
            <w:tcW w:w="50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240.4</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about 8.5% of our assets under management at March 31, 2013.</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Fees for advisory-related administrative services provided to our sponsored mutual funds in the U.S. during the first quarter of the year were $64.7 million in 2012 and $67.8 million in 2013. Distribution and other servicing fees earned from certain classes of our sponsored mutual funds in the U.S. during the first quarter of the year were $22.2 million in 2012 and $26.2 million in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IN SPONSORED FUNDS - AVAILABLE-FOR-SALE.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make investments in our sponsored funds for general corporate investment purposes or to provide seed capital for newly formed funds. At December 31, 2012 and March 31, 2013, we deem these funds to be voting interest entities. These investments (in millions)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5"/>
              </w:rPr>
              <w:t>Unrealized holding</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Aggregate</w:t>
            </w:r>
          </w:p>
        </w:tc>
      </w:tr>
      <w:tr>
        <w:trPr>
          <w:trHeight w:val="198"/>
        </w:trPr>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62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December 31, 2012</w:t>
            </w: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5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515.8</w:t>
            </w:r>
          </w:p>
        </w:tc>
      </w:tr>
      <w:tr>
        <w:trPr>
          <w:trHeight w:val="243"/>
        </w:trPr>
        <w:tc>
          <w:tcPr>
            <w:tcW w:w="662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624.3</w:t>
            </w: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1,140.1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66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March 31, 2013</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43"/>
        </w:trPr>
        <w:tc>
          <w:tcPr>
            <w:tcW w:w="662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551.9</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632.9</w:t>
            </w:r>
          </w:p>
        </w:tc>
      </w:tr>
      <w:tr>
        <w:trPr>
          <w:trHeight w:val="237"/>
        </w:trPr>
        <w:tc>
          <w:tcPr>
            <w:tcW w:w="662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929.2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1,184.8</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DEBT SECURITIES HELD BY SAVINGS BANK SUBSIDIARY.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gridSpan w:val="3"/>
            <w:shd w:val="clear" w:color="auto" w:fill="CCEEFF"/>
          </w:tcPr>
          <w:p>
            <w:pPr>
              <w:jc w:val="right"/>
              <w:ind w:right="784"/>
              <w:spacing w:after="0"/>
              <w:rPr>
                <w:sz w:val="20"/>
                <w:szCs w:val="20"/>
                <w:color w:val="auto"/>
              </w:rPr>
            </w:pPr>
            <w:r>
              <w:rPr>
                <w:rFonts w:ascii="Arial" w:cs="Arial" w:eastAsia="Arial" w:hAnsi="Arial"/>
                <w:sz w:val="14"/>
                <w:szCs w:val="14"/>
                <w:b w:val="1"/>
                <w:bCs w:val="1"/>
                <w:color w:val="auto"/>
              </w:rPr>
              <w:t>12/31/2012</w:t>
            </w: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3/31/2013</w:t>
            </w:r>
          </w:p>
        </w:tc>
        <w:tc>
          <w:tcPr>
            <w:tcW w:w="11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284"/>
              <w:spacing w:after="0" w:line="153" w:lineRule="exact"/>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center"/>
              <w:ind w:right="258"/>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0"/>
              </w:rPr>
              <w:t>holding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87"/>
              </w:rPr>
              <w:t>gains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83"/>
              </w:rPr>
              <w:t>(losses)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temporary impairment (0 securities in 2013) of</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Less than 12 months</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24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12 months or more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unrealized holding gains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128.6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134.2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3"/>
              </w:rPr>
              <w:t>136.0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2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3"/>
              </w:rPr>
              <w:t>134.2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Aggregate cost</w:t>
            </w: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more-likely-than-not that we will not be required to sell any of these securities before recovery of their amortized cost. Accordingly, impairment of these investments is considered temporary.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3/31/2013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 interest in Daiwa SB Investments Ltd. (Japan)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136.3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held as trading</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Sponsored fund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Securities held by consolidated sponsored investment portfolios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302.2</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securities held by consolidated sponsored investment portfolios relate to investment portfolios in which we provided initial seed capital at the time of its formation. We have determined at December 31, 2012 and March 31, 2013, that these investment portfolios are voting interest entities in which we have a controlling financial interest.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1300" w:right="400" w:hanging="323"/>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1300" w:right="180" w:hanging="323"/>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in or out of the levels. The following table summarizes our investments (in millions) that are recognized in our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Level 2</w:t>
            </w:r>
          </w:p>
        </w:tc>
      </w:tr>
      <w:tr>
        <w:trPr>
          <w:trHeight w:val="183"/>
        </w:trPr>
        <w:tc>
          <w:tcPr>
            <w:tcW w:w="834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December 31, 2012</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136.0</w:t>
            </w: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83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March 31, 2013</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68.6</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w:t>
            </w:r>
          </w:p>
        </w:tc>
      </w:tr>
      <w:tr>
        <w:trPr>
          <w:trHeight w:val="23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2,311.9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202.8</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Customer deposits at our savings bank subsidiary are not measured at fair value in our consolidated balance sheets. The estimated fair value of these deposits, based on discounting expected cash outflows at maturity dates that range up to five years using current interest rates offered for deposits with the same dates of maturity, was $157.8 million at December 31, 2012, and $152.2 million at March 31, 2013. The fair value was determined using Level 2 inputs.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quarter of 2013.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spacing w:after="0"/>
              <w:rPr>
                <w:sz w:val="17"/>
                <w:szCs w:val="17"/>
                <w:color w:val="auto"/>
              </w:rPr>
            </w:pPr>
          </w:p>
        </w:tc>
        <w:tc>
          <w:tcPr>
            <w:tcW w:w="1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beginning of year</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34,622,435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1,766,900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Reload grants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10,953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(2,374,340)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(332,429)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end of period</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33,692,302</w:t>
            </w:r>
          </w:p>
        </w:tc>
        <w:tc>
          <w:tcPr>
            <w:tcW w:w="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end of period</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17,982,520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quarter of 2013.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beginning of year</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1,161,164</w:t>
            </w:r>
          </w:p>
        </w:tc>
        <w:tc>
          <w:tcPr>
            <w:tcW w:w="120" w:type="dxa"/>
            <w:vAlign w:val="bottom"/>
          </w:tcPr>
          <w:p>
            <w:pPr>
              <w:spacing w:after="0"/>
              <w:rPr>
                <w:sz w:val="20"/>
                <w:szCs w:val="20"/>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597,042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to employees - time-based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381,457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163,923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 to employees - performance-based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34,050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(33,734)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(4,126)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period</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1,520,199</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789,021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nonvested totals at the end of the period include 36,000 performance-based restricted shares and 104,925 performance-based restricted stock units. The performance period has lapsed and the performance threshold has been met for 12,000 shares and 36,750 units that were outstanding at the end of the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March 31, 2013. Estimated future compensation expense will change to reflect future option grants, including reloads; future awards of unrestricted shares, restricted shares, and restricted stock units; changes in estimated forfeitures;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2013</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2015 through 2018</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1025" w:hanging="1025"/>
        <w:spacing w:after="0"/>
        <w:tabs>
          <w:tab w:leader="none" w:pos="1025" w:val="left"/>
        </w:tabs>
        <w:numPr>
          <w:ilvl w:val="0"/>
          <w:numId w:val="1"/>
        </w:numPr>
        <w:rPr>
          <w:rFonts w:ascii="Arial" w:cs="Arial" w:eastAsia="Arial" w:hAnsi="Arial"/>
          <w:sz w:val="16"/>
          <w:szCs w:val="16"/>
          <w:color w:val="auto"/>
        </w:rPr>
      </w:pPr>
      <w:r>
        <w:rPr>
          <w:rFonts w:ascii="Arial" w:cs="Arial" w:eastAsia="Arial" w:hAnsi="Arial"/>
          <w:sz w:val="16"/>
          <w:szCs w:val="16"/>
          <w:color w:val="auto"/>
        </w:rPr>
        <w:t>28.5</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28.2</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23.4</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68.5</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925" w:hanging="925"/>
        <w:spacing w:after="0"/>
        <w:tabs>
          <w:tab w:leader="none" w:pos="925" w:val="left"/>
        </w:tabs>
        <w:numPr>
          <w:ilvl w:val="0"/>
          <w:numId w:val="2"/>
        </w:numPr>
        <w:rPr>
          <w:rFonts w:ascii="Arial" w:cs="Arial" w:eastAsia="Arial" w:hAnsi="Arial"/>
          <w:sz w:val="16"/>
          <w:szCs w:val="16"/>
          <w:color w:val="auto"/>
        </w:rPr>
      </w:pPr>
      <w:r>
        <w:rPr>
          <w:rFonts w:ascii="Arial" w:cs="Arial" w:eastAsia="Arial" w:hAnsi="Arial"/>
          <w:sz w:val="16"/>
          <w:szCs w:val="16"/>
          <w:color w:val="auto"/>
        </w:rPr>
        <w:t>214.7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9255" w:space="720"/>
            <w:col w:w="1445"/>
          </w:cols>
          <w:pgMar w:left="240" w:top="368" w:right="2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additional dilution, determined using the treasury stock method that could occur if outstanding stock options were exercised and non-participating stock awards were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3/31/2012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3/31/2013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256.9</w:t>
            </w:r>
          </w:p>
        </w:tc>
      </w:tr>
      <w:tr>
        <w:trPr>
          <w:trHeight w:val="67"/>
        </w:trPr>
        <w:tc>
          <w:tcPr>
            <w:tcW w:w="8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368" w:right="239" w:bottom="1440" w:gutter="0" w:footer="0" w:header="0"/>
          <w:type w:val="continuous"/>
        </w:sectPr>
      </w:pPr>
    </w:p>
    <w:bookmarkStart w:id="11" w:name="page12"/>
    <w:bookmarkEnd w:id="11"/>
    <w:p>
      <w:pPr>
        <w:ind w:right="82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and their average exercise price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3/31/2012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3/31/2013</w:t>
            </w: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Average exercise price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COMPREHENSIVE INCOME AND ACCUMULATED OTHER COMPREHENSIVE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deferred tax benefit (income tax) impact of the components (in millions) of other comprehensive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3/31/2012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3/31/2013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unrealized holding gains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adjustment recognized in non-operating investment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on net unrealized holding gains recognized in other comprehensive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 on currency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income taxes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(in millions), by component, for the first quarter of 2013, are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2"/>
              </w:rPr>
              <w:t>Other comprehensive</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3/31/2013</w:t>
            </w:r>
          </w:p>
        </w:tc>
        <w:tc>
          <w:tcPr>
            <w:tcW w:w="0" w:type="dxa"/>
            <w:vAlign w:val="bottom"/>
          </w:tcPr>
          <w:p>
            <w:pPr>
              <w:spacing w:after="0"/>
              <w:rPr>
                <w:sz w:val="1"/>
                <w:szCs w:val="1"/>
                <w:color w:val="auto"/>
              </w:rPr>
            </w:pPr>
          </w:p>
        </w:tc>
      </w:tr>
      <w:tr>
        <w:trPr>
          <w:trHeight w:val="194"/>
        </w:trPr>
        <w:tc>
          <w:tcPr>
            <w:tcW w:w="6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income, net of tax</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holding gains on:</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sponsored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Debt securities held by savings bank subsidiary</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Proportionate share of investments held by UTI</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holding gains, net of taxes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 net of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comprehensive income, net of tax, related to our net unrealized holding gains in the first quarter of 2013 includes $11.4 million in gains realized on dispositions that were reclassified from accumulated other comprehensive income and included in non-operating investment income. The income taxes of $4.4 million related to these gains were also reclassed from accumulated other comprehensive income and are included in our provision for income taxes in the first quarter of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March 31, 2013, the related condensed consolidated statements of income, comprehensive income and cash flows for the three-month periods ended March 31, 2013 and 2012, and the related condensed consolidated statement of stockholders’ equity for the three-month period ended March 31, 2013. These condensed consolidated financial statements are the responsibility of the Company’s management.</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2012, and the related consolidated statements of income, comprehensive income, stockholders’ equity, and cash flows for the year then ended (not presented herein); and in our report dated February 5, 2013, we expressed an unqualified opinion on those consolidated financial statements. In our opinion, the information set forth in the accompanying condensed consolidated balance sheet as of December 31, 2012,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2013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U.S. sponsored mutual funds and other investment portfolios. The other investment portfolios include separately managed accounts, subadvised funds, and other sponsored investment portfolios including common trust funds, target-date retirement trusts and mutual funds offered to investors outside the U.S. and through variable annuity life insurance plans. Investment advisory clients domiciled outside the U.S. account for about 8.5% of our assets under management at March 31, 2013.</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U.S. equities rose in the first quarter of 2013, lifting several major indexes to multi-year highs, if not all-time highs, as the economy continued to slowly expand, labor markets strengthened somewhat further over the period as a whole, and the Federal Reserve continued its asset purchase plans to hold down interest rates. The U.S. markets advanced despite tighter U.S. fiscal policy and renewed concerns about the European sovereign debt crisis. Non-U.S. developed markets lagged their U.S. counterparts, while emerging market stocks fell as economic slowdowns in a few emerging countries led investors to shift money to developed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first quarter of 2013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3/31/2013</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10.6%</w:t>
            </w: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8.2%</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5.2%</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w:t>
            </w:r>
          </w:p>
        </w:tc>
      </w:tr>
      <w:tr>
        <w:trPr>
          <w:trHeight w:val="329"/>
        </w:trPr>
        <w:tc>
          <w:tcPr>
            <w:tcW w:w="9020" w:type="dxa"/>
            <w:vAlign w:val="bottom"/>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2400" w:type="dxa"/>
            <w:vAlign w:val="bottom"/>
          </w:tcPr>
          <w:p>
            <w:pPr>
              <w:spacing w:after="0"/>
              <w:rPr>
                <w:sz w:val="24"/>
                <w:szCs w:val="24"/>
                <w:color w:val="auto"/>
              </w:rPr>
            </w:pPr>
          </w:p>
        </w:tc>
      </w:tr>
    </w:tbl>
    <w:p>
      <w:pPr>
        <w:spacing w:after="0" w:line="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 Bonds were mostly flat in the first quarter of 2013, as positive news about the global economy led investors to seek riskier assets, including high yield bonds. Longer-term Treasury bond yields rose slightly in the quarter though they continue to be near historic lows. The yield on the benchmark 10-year U.S. Treasury at March 31, 2013, was 1.9%, slightly higher than the December 31, 2012, rate of 1.8%. At its March meeting, the Federal Reserve reaffirmed that it would continue its asset purchase plan and maintain its low interest rate policy so long as the unemployment rate remains above 6.5% and annual inflation remains below 2.5% in the short-term. Bonds in overseas markets saw larger losses in dollar terms in the first quarter of 2013, as currencies declined relative to the U.S. dollar.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Returns for several major bond market indexes for the first quarter of 2013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r>
      <w:tr>
        <w:trPr>
          <w:trHeight w:val="197"/>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3/31/2013</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U.S. Aggregate Index</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9"/>
              </w:rPr>
              <w:t>-0.1%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Credit Suisse High Yield Index</w:t>
            </w:r>
          </w:p>
        </w:tc>
        <w:tc>
          <w:tcPr>
            <w:tcW w:w="120" w:type="dxa"/>
            <w:vAlign w:val="bottom"/>
          </w:tcPr>
          <w:p>
            <w:pPr>
              <w:spacing w:after="0"/>
              <w:rPr>
                <w:sz w:val="21"/>
                <w:szCs w:val="21"/>
                <w:color w:val="auto"/>
              </w:rPr>
            </w:pPr>
          </w:p>
        </w:tc>
        <w:tc>
          <w:tcPr>
            <w:tcW w:w="1700" w:type="dxa"/>
            <w:vAlign w:val="bottom"/>
          </w:tcPr>
          <w:p>
            <w:pPr>
              <w:jc w:val="center"/>
              <w:ind w:right="34"/>
              <w:spacing w:after="0"/>
              <w:rPr>
                <w:sz w:val="20"/>
                <w:szCs w:val="20"/>
                <w:color w:val="auto"/>
              </w:rPr>
            </w:pPr>
            <w:r>
              <w:rPr>
                <w:rFonts w:ascii="Arial" w:cs="Arial" w:eastAsia="Arial" w:hAnsi="Arial"/>
                <w:sz w:val="18"/>
                <w:szCs w:val="18"/>
                <w:color w:val="auto"/>
                <w:w w:val="92"/>
              </w:rPr>
              <w:t>2.9%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Municipal Bond Index</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92"/>
              </w:rPr>
              <w:t>0.3%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120" w:type="dxa"/>
            <w:vAlign w:val="bottom"/>
          </w:tcPr>
          <w:p>
            <w:pPr>
              <w:spacing w:after="0"/>
              <w:rPr>
                <w:sz w:val="21"/>
                <w:szCs w:val="21"/>
                <w:color w:val="auto"/>
              </w:rPr>
            </w:pPr>
          </w:p>
        </w:tc>
        <w:tc>
          <w:tcPr>
            <w:tcW w:w="1700" w:type="dxa"/>
            <w:vAlign w:val="bottom"/>
          </w:tcPr>
          <w:p>
            <w:pPr>
              <w:jc w:val="center"/>
              <w:ind w:right="34"/>
              <w:spacing w:after="0"/>
              <w:rPr>
                <w:sz w:val="20"/>
                <w:szCs w:val="20"/>
                <w:color w:val="auto"/>
              </w:rPr>
            </w:pPr>
            <w:r>
              <w:rPr>
                <w:rFonts w:ascii="Arial" w:cs="Arial" w:eastAsia="Arial" w:hAnsi="Arial"/>
                <w:sz w:val="18"/>
                <w:szCs w:val="18"/>
                <w:color w:val="auto"/>
                <w:w w:val="89"/>
              </w:rPr>
              <w:t>-3.5%</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Plus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9"/>
              </w:rPr>
              <w:t>-3.3%</w:t>
            </w:r>
          </w:p>
        </w:tc>
      </w:tr>
      <w:tr>
        <w:trPr>
          <w:trHeight w:val="540"/>
        </w:trPr>
        <w:tc>
          <w:tcPr>
            <w:tcW w:w="9600" w:type="dxa"/>
            <w:vAlign w:val="bottom"/>
          </w:tcPr>
          <w:p>
            <w:pPr>
              <w:spacing w:after="0"/>
              <w:rPr>
                <w:sz w:val="20"/>
                <w:szCs w:val="20"/>
                <w:color w:val="auto"/>
              </w:rPr>
            </w:pPr>
            <w:r>
              <w:rPr>
                <w:rFonts w:ascii="Arial" w:cs="Arial" w:eastAsia="Arial" w:hAnsi="Arial"/>
                <w:sz w:val="18"/>
                <w:szCs w:val="18"/>
                <w:color w:val="auto"/>
              </w:rPr>
              <w:t>ASSETS UNDER MANAGEMENT.</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9600" w:type="dxa"/>
            <w:vAlign w:val="bottom"/>
          </w:tcPr>
          <w:p>
            <w:pPr>
              <w:spacing w:after="0"/>
              <w:rPr>
                <w:sz w:val="20"/>
                <w:szCs w:val="20"/>
                <w:color w:val="auto"/>
              </w:rPr>
            </w:pPr>
            <w:r>
              <w:rPr>
                <w:rFonts w:ascii="Arial" w:cs="Arial" w:eastAsia="Arial" w:hAnsi="Arial"/>
                <w:sz w:val="18"/>
                <w:szCs w:val="18"/>
                <w:color w:val="auto"/>
              </w:rPr>
              <w:t>Our assets under management (in billions) have changed during 2013 as follows:</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88"/>
        </w:trPr>
        <w:tc>
          <w:tcPr>
            <w:tcW w:w="96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Quarter ended 3/31/2013</w:t>
            </w: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576.8</w:t>
            </w:r>
          </w:p>
        </w:tc>
      </w:tr>
      <w:tr>
        <w:trPr>
          <w:trHeight w:val="223"/>
        </w:trPr>
        <w:tc>
          <w:tcPr>
            <w:tcW w:w="9600" w:type="dxa"/>
            <w:vAlign w:val="bottom"/>
          </w:tcPr>
          <w:p>
            <w:pPr>
              <w:ind w:left="40"/>
              <w:spacing w:after="0"/>
              <w:rPr>
                <w:sz w:val="20"/>
                <w:szCs w:val="20"/>
                <w:color w:val="auto"/>
              </w:rPr>
            </w:pPr>
            <w:r>
              <w:rPr>
                <w:rFonts w:ascii="Arial" w:cs="Arial" w:eastAsia="Arial" w:hAnsi="Arial"/>
                <w:sz w:val="18"/>
                <w:szCs w:val="18"/>
                <w:color w:val="auto"/>
              </w:rPr>
              <w:t>Net cash flows</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41"/>
        </w:trPr>
        <w:tc>
          <w:tcPr>
            <w:tcW w:w="9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Sponsored mutual funds in the U.S.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43"/>
        </w:trPr>
        <w:tc>
          <w:tcPr>
            <w:tcW w:w="9600" w:type="dxa"/>
            <w:vAlign w:val="bottom"/>
          </w:tcPr>
          <w:p>
            <w:pPr>
              <w:ind w:left="380"/>
              <w:spacing w:after="0"/>
              <w:rPr>
                <w:sz w:val="20"/>
                <w:szCs w:val="20"/>
                <w:color w:val="auto"/>
              </w:rPr>
            </w:pPr>
            <w:r>
              <w:rPr>
                <w:rFonts w:ascii="Arial" w:cs="Arial" w:eastAsia="Arial" w:hAnsi="Arial"/>
                <w:sz w:val="18"/>
                <w:szCs w:val="18"/>
                <w:color w:val="auto"/>
              </w:rPr>
              <w:t>Other portfolios</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Market valuation changes and income</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37.3</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Assets under management at end of period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617.4</w:t>
            </w:r>
          </w:p>
        </w:tc>
      </w:tr>
      <w:tr>
        <w:trPr>
          <w:trHeight w:val="27"/>
        </w:trPr>
        <w:tc>
          <w:tcPr>
            <w:tcW w:w="9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Assets under management at March 31, 2013, include $459.6 billion in stock and blended asset investment portfolios and $157.8 billion in fixed income investment portfolios. The investment portfolios that we manage consist of $377.0 billion in the T. Rowe Price mutual funds distributed in the U.S. and $240.4 billion in other investment portfolios.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of 2013 versus first quarter of 2012.</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Investment advisory revenues were up 12.8%, or $79.9 million, to $702.9 million in the first quarter of 2013, as average assets under our management increased $70.7 billion to $601.0 billion. The average annualized effective fee rate earned on our assets under management was 47.4 basis points during the first quarter of 2013, which is slightly higher than the 47.2 basis points earned during the full-year 2012. We waived $10.9 million in money market advisory fees in the first quarter of 2013, an increase of $2.1 million from the comparable 2012 quarter, in order to maintain a positive yield for fund investors. These fee waivers represent about 2% of total investment advisory revenues earned during the first quarter of 2013. We have waived fees from each of our money market mutual funds and trusts, which have combined net assets of $15.3 billion at March 31, 2013. We expect that these fee waivers will continue for the remainder of 2013.</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revenues increased $87.0 million, or 11.9%, to $815.7 million in the first quarter of 2013. Operating expenses were $443.1 million in the first quarter of 2013, an increase of $30.6 million or 7.4%. Overall, net operating income for the first quarter of 2013 increased $56.4 million to $372.6 million. The increase in our average assets under management and corresponding investment advisory revenues from higher market valuations lifted our operating margin in the first quarter of 2013 to 45.7% compared to 43.4% in the 2012 period. Net income increased $44.4 million, or 22.5%, to $241.9 million, in the first quarter of 2013 and our diluted earnings per share on our common stock increased 21.3% to $.91 from the $.75 earned in the first quarter of 2012.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Investment advisory revenues earned from the T. Rowe Price mutual funds distributed in the U.S. were $490.6 million, an increase of $64.7 million, or 15.2%, on higher average assets under management. Average mutual fund assets under management in the first quarter of 2013 were $364.8 billion, an increase of 16.8% from the average in the first quarter of 2012. Mutual fund assets at March 31, 2013, were $377.0 billion, an increase of $30.1 billion from the end of 2012. Net cash inflows into the mutual funds during the first quarter of 2013 were $7.6 billion, including $5.2 billion into the stock and blended asset funds, $2.5 billion into the bond funds, and net outflows of $.1 billion from the money market funds. These net cash inflows include $2.7 billion originating in the target-date retirement funds, which in turn invest in a broadly diversified portfolio of other Price funds, and automatically rebalance to maintain their specific asset allocation weightings. Market appreciation and income increased mutual fund assets under management by $22.5 billion during the first quarter of 2013.</w:t>
      </w:r>
    </w:p>
    <w:p>
      <w:pPr>
        <w:spacing w:after="0" w:line="13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Investment advisory revenues earned in the first quarter of 2013 on our other investment portfolios increased $15.2 million compared to the 2012 quarter to $212.3 million, as average assets under management increased $18.3 billion, or 8.4%, to $236.2 billion. Assets under management in these portfolios at March 31, 2013, were $240.4 billion, an increase of $10.5 billion from the end of 2012. Market appreciation and income of $14.8 billion was partially offset by $4.3 billion in net cash outflows during the first quarter of 2013. These net cash outflows were primarily from certain institutional clients outside the United States who changed their investment objectives.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Administrative fee revenues increased $3.4 million to $86.3 million in the first quarter of 2013. The increase is primarily attributable to transfer agent servicing activities provided to the mutual funds and their investors. Changes in administrative fee revenues are generally offset by similar changes in related operating expenses that are incurred to provide services to the funds and their investors.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class shares of our sponsored funds and portfolios increased $4.0 million from the first quarter of 2012 on greater average assets under management in these share classes. The 12b-1 fees earned are offset entirely by the costs paid to third-party intermediaries who source these assets. These costs are reported as distribution and servicing costs on the face of the condensed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Compensation and related costs were $279.1 million in the first quarter of 2013, an increase of $18.4 million, or 7.1%, compared to the first quarter of 2012. The largest part of the increase is attributable to $7.5 million in higher salaries and related benefits, which results from a modest increase in salaries at the beginning of 2013 combined with a 3.2% increase in our average staff size from the first quarter of 2012. The 2013 costs also include a $7.0 million increase in the interim accrual for our annual variable compensation programs, higher costs attributable to an increased use of temporary personnel to support our business growth and higher other employee-related costs. At March 31, 2013, we employed 5,408 associates.</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Occupancy and facility costs together with depreciation and amortization expense were $54.5 million in the first quarter of 2013, up $5.3 million compared to the first quarter of 2012. The change is primarily a result of costs incurred to expand our facilities around the world as well as update our technology capabilities, including related maintenance programs, to meet increasing business demands.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operating expenses increased $3.4 million in the first quarter of 2013, to $58.0 million, due primarily to higher costs incurred to provide our defined contribution recordkeeping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up $13.2 million from the first quarter of 2012, including $11.4 million in gains realized from rebalancing our sponsored fund portfolio. The balance of the increase is primarily attributable to higher gains recognized in the first quarter of 2013 on our other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firm's effective income tax rate for the first quarter of 2013 of 38.1% is lower than the 38.4% effective income tax rate for the full year 2012 due to certain adjustments made in the 2013 quarter for prior year tax accruals. We currently estimate our effective tax rate for the full year 2013 will be 38.3%. Our effective income tax rate reflects the relative contribution of pre-tax income generated by our non-U.S. subsidiaries that are subject to tax rates lower than our U.S. rates. Changes in the relative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80"/>
          </w:cols>
          <w:pgMar w:left="240" w:top="368" w:right="279" w:bottom="1440" w:gutter="0" w:footer="0" w:header="0"/>
        </w:sectPr>
      </w:pPr>
    </w:p>
    <w:bookmarkStart w:id="16" w:name="page17"/>
    <w:bookmarkEnd w:id="16"/>
    <w:p>
      <w:pPr>
        <w:ind w:right="160"/>
        <w:spacing w:after="0" w:line="277" w:lineRule="auto"/>
        <w:rPr>
          <w:sz w:val="20"/>
          <w:szCs w:val="20"/>
          <w:color w:val="auto"/>
        </w:rPr>
      </w:pPr>
      <w:r>
        <w:rPr>
          <w:rFonts w:ascii="Arial" w:cs="Arial" w:eastAsia="Arial" w:hAnsi="Arial"/>
          <w:sz w:val="18"/>
          <w:szCs w:val="18"/>
          <w:color w:val="auto"/>
        </w:rPr>
        <w:t>contribution of pre-tax income from U.S. and non-U.S. sources or changes in tax rates in the U.S. or relevant non-U.S. jurisdictions may affect our effective income tax rate and overall net income in the future.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Operating activities during the first quarter of 2013 provided cash flows of $459.4 million, up $193.6 million from the 2012 period, including a $44.4 million increase in net income. Timing differences in the cash settlement of our assets and liabilities increased our operating cash flows by $80.6 million compared to the first quarter of 2012. The first quarter of 2012 also included $79.0 million in cash outflows for the net purchase of securities held by consolidated sponsored mutual funds to which we provided seed capital at their formation and were deemed to have a controlling interest. These operating cash flow increases are offset by the add back of $11.4 million in gains recognized on the sale of certain sponsored fund investments as the related cash flow activity is reflected in net cash used in investing activities. Our interim operating cash flows do not include the cash impact of variable compensation that is accrued throughout the year before being substantially paid out in December.</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Net cash used in investing activities totaled $31.6 million in the first quarter of 2013, up $22.3 million from the comparable 2012 period. We made $10.0 million more net investments in our sponsored mutual funds and increased our capital spending by $4.2 million in the first quarter of 2013 compared with the 2012 period. The first quarter of 2012 also included $12.4 million more in net cash proceeds from the debt securities held by our savings bank subsidiary.</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cash used in financing activities was $21.0 million in the first quarter of 2013, down $29.9 million from the comparable 2012 period. Cash proceeds from option exercises increased $46.1 million in the first quarter of 2013 compared to the 2012 quarter as the higher market valuations of our common stock experienced in the 2013 quarter led our associates to exercise their options. These cash proceeds were partially offset by the change in customer deposits at our savings bank subsidiary during the first quarter of 2013 and the $11.9 million increase in dividends paid. The increase in dividends paid in the first quarter of 2013 is primarily due to the $.04 increase in our quarterly per-share dividend.</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and mutual fund investments at March 31, 2013 were $2.5 billion, and we have no debt. We anticipate property and equipment expenditures for the full year 2013 to be about $125 million and expect to fund them from our cash balances. We generally repurchase shares of our common stock over time to offset the dilution created by our equity-based compensation plans. Given the availability of our financial resources, we do not maintain an available external source of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that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investments, capital expenditures,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2012.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368" w:right="259" w:bottom="1440" w:gutter="0" w:footer="0" w:header="0"/>
        </w:sectPr>
      </w:pPr>
    </w:p>
    <w:bookmarkStart w:id="17" w:name="page18"/>
    <w:bookmarkEnd w:id="17"/>
    <w:p>
      <w:pPr>
        <w:spacing w:after="0" w:line="297" w:lineRule="auto"/>
        <w:rPr>
          <w:sz w:val="20"/>
          <w:szCs w:val="20"/>
          <w:color w:val="auto"/>
        </w:rPr>
      </w:pPr>
      <w:r>
        <w:rPr>
          <w:rFonts w:ascii="Arial" w:cs="Arial" w:eastAsia="Arial" w:hAnsi="Arial"/>
          <w:sz w:val="16"/>
          <w:szCs w:val="16"/>
          <w:color w:val="auto"/>
        </w:rPr>
        <w:t>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and changes in their market valuations.</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other incentive awards, changes in our employee count and mix, and competitive factors; any goodwill or investment impairment that may arise; fluctuation in foreign currency exchange rates applicable to our investment in and the costs of our international operations; changes in our effective tax rate;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2013. Based on that evaluation, our principal executive and principal financial officers have concluded that our disclosure controls and procedures as of March 31, 2013,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2013, and has concluded that there was no change during the first quarter of 2013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36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the exception of the following addition to the list of current and proposed legal or regulatory requirements discussed in Item 1A of our Form 10-K Annual Report for 2012 there have been no material changes in the risk factors previously provided.</w:t>
      </w:r>
    </w:p>
    <w:p>
      <w:pPr>
        <w:spacing w:after="0" w:line="25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part of the debate in Washington, D.C. related to the economy and the U.S. deficit, there has been increasing focus on the framework of the U.S. retirement system. We could incur increased costs if new regulatory requirements are adopted since retirement plans are a significant part of our client base. Also, other types of retirement accounts invest in our mutual funds. In addition, changes to the current framework may impact our business in other ways. For example, proposals to reduce contributions to Individual Retirement Accounts and Defined Contribution plans for certain individuals, as well as potential changes to Defined Benefit plans, may result in increased plan terminations and reduce our opportunity to manage and service retirement assets.</w:t>
      </w:r>
    </w:p>
    <w:p>
      <w:pPr>
        <w:spacing w:after="0" w:line="239"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As previously noted, 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16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2"/>
              </w:rPr>
              <w:t>Announced Program</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157,799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11,413,467</w:t>
            </w:r>
          </w:p>
        </w:tc>
        <w:tc>
          <w:tcPr>
            <w:tcW w:w="0" w:type="dxa"/>
            <w:vAlign w:val="bottom"/>
          </w:tcPr>
          <w:p>
            <w:pPr>
              <w:spacing w:after="0"/>
              <w:rPr>
                <w:sz w:val="1"/>
                <w:szCs w:val="1"/>
                <w:color w:val="auto"/>
              </w:rPr>
            </w:pPr>
          </w:p>
        </w:tc>
      </w:tr>
      <w:tr>
        <w:trPr>
          <w:trHeight w:val="270"/>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February</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133,303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11,413,467</w:t>
            </w:r>
          </w:p>
        </w:tc>
        <w:tc>
          <w:tcPr>
            <w:tcW w:w="0" w:type="dxa"/>
            <w:vAlign w:val="bottom"/>
          </w:tcPr>
          <w:p>
            <w:pPr>
              <w:spacing w:after="0"/>
              <w:rPr>
                <w:sz w:val="1"/>
                <w:szCs w:val="1"/>
                <w:color w:val="auto"/>
              </w:rPr>
            </w:pPr>
          </w:p>
        </w:tc>
      </w:tr>
      <w:tr>
        <w:trPr>
          <w:trHeight w:val="270"/>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March</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131,762</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74.32</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11,413,467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422,864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payroll tax withholding obligation associated with the vesting of restricted stock awards. Of the total number of shares purchased during the first quarter of 2013, 422,759 were related to shares surrendered in connection with employee stock option exercises and 105 were related to shares withheld to cover payroll tax withholdings associated with the vesting of restricted stock awards.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maximum number of shares that may yet be purchased are available under the Board of Directors’ September 8, 2010 publicly announced authorization.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24, 2013, we issued a press release reporting our results of operations for the first quarter of 2013.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make available free of charge through our Internet web 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Securities and Exchange Commission. To obtain any of this information, access our web page at www.troweprice.com. We use our website as a channel of distribution for material company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3(i).1</w:t>
            </w:r>
          </w:p>
        </w:tc>
        <w:tc>
          <w:tcPr>
            <w:tcW w:w="10080" w:type="dxa"/>
            <w:vAlign w:val="bottom"/>
          </w:tcPr>
          <w:p>
            <w:pPr>
              <w:ind w:left="660"/>
              <w:spacing w:after="0"/>
              <w:rPr>
                <w:sz w:val="20"/>
                <w:szCs w:val="20"/>
                <w:color w:val="auto"/>
              </w:rPr>
            </w:pPr>
            <w:r>
              <w:rPr>
                <w:rFonts w:ascii="Arial" w:cs="Arial" w:eastAsia="Arial" w:hAnsi="Arial"/>
                <w:sz w:val="18"/>
                <w:szCs w:val="18"/>
                <w:color w:val="auto"/>
                <w:w w:val="93"/>
              </w:rPr>
              <w:t>Charter of T. Rowe Price Group, Inc., as Amended by Articles of Amendment dated April 10, 2008. (Incorporated by reference</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from Form 10-Q Report for the quarterly period ended June 30, 2008 filed on April 10, 2008; File No. 033-07012-99).</w:t>
            </w: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3(ii)</w:t>
            </w:r>
          </w:p>
        </w:tc>
        <w:tc>
          <w:tcPr>
            <w:tcW w:w="10080" w:type="dxa"/>
            <w:vAlign w:val="bottom"/>
          </w:tcPr>
          <w:p>
            <w:pPr>
              <w:ind w:left="660"/>
              <w:spacing w:after="0"/>
              <w:rPr>
                <w:sz w:val="20"/>
                <w:szCs w:val="20"/>
                <w:color w:val="auto"/>
              </w:rPr>
            </w:pPr>
            <w:r>
              <w:rPr>
                <w:rFonts w:ascii="Arial" w:cs="Arial" w:eastAsia="Arial" w:hAnsi="Arial"/>
                <w:sz w:val="18"/>
                <w:szCs w:val="18"/>
                <w:color w:val="auto"/>
                <w:w w:val="90"/>
              </w:rPr>
              <w:t>Amended and Restated By-Laws of T. Rowe Price Group, Inc. as of February 12, 2009. (Incorporated by reference from Form 8-K</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Current Report file on February 17, 2009; File No. 033-07012-99).</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15</w:t>
            </w:r>
          </w:p>
        </w:tc>
        <w:tc>
          <w:tcPr>
            <w:tcW w:w="10080" w:type="dxa"/>
            <w:vAlign w:val="bottom"/>
          </w:tcPr>
          <w:p>
            <w:pPr>
              <w:ind w:left="66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10.18.5</w:t>
            </w:r>
          </w:p>
        </w:tc>
        <w:tc>
          <w:tcPr>
            <w:tcW w:w="10080" w:type="dxa"/>
            <w:vAlign w:val="bottom"/>
          </w:tcPr>
          <w:p>
            <w:pPr>
              <w:ind w:left="660"/>
              <w:spacing w:after="0"/>
              <w:rPr>
                <w:sz w:val="20"/>
                <w:szCs w:val="20"/>
                <w:color w:val="auto"/>
              </w:rPr>
            </w:pPr>
            <w:r>
              <w:rPr>
                <w:rFonts w:ascii="Arial" w:cs="Arial" w:eastAsia="Arial" w:hAnsi="Arial"/>
                <w:sz w:val="18"/>
                <w:szCs w:val="18"/>
                <w:color w:val="auto"/>
              </w:rPr>
              <w:t>HM Revenue and Customs Approved Sub-Plan for UK Employees under the 2012 Long-Term Incentive Plan.</w:t>
            </w: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10.18.6</w:t>
            </w:r>
          </w:p>
        </w:tc>
        <w:tc>
          <w:tcPr>
            <w:tcW w:w="10080" w:type="dxa"/>
            <w:vAlign w:val="bottom"/>
          </w:tcPr>
          <w:p>
            <w:pPr>
              <w:ind w:left="660"/>
              <w:spacing w:after="0"/>
              <w:rPr>
                <w:sz w:val="20"/>
                <w:szCs w:val="20"/>
                <w:color w:val="auto"/>
              </w:rPr>
            </w:pPr>
            <w:r>
              <w:rPr>
                <w:rFonts w:ascii="Arial" w:cs="Arial" w:eastAsia="Arial" w:hAnsi="Arial"/>
                <w:sz w:val="18"/>
                <w:szCs w:val="18"/>
                <w:color w:val="auto"/>
                <w:w w:val="91"/>
              </w:rPr>
              <w:t>Forms of Agreement for Stock Options issued under the HM Revenue and Customs Approved Sub-Plan for UK Employees under</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the 2012 Long-Term Incentive Plan.</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31(i).1</w:t>
            </w:r>
          </w:p>
        </w:tc>
        <w:tc>
          <w:tcPr>
            <w:tcW w:w="10080" w:type="dxa"/>
            <w:vAlign w:val="bottom"/>
          </w:tcPr>
          <w:p>
            <w:pPr>
              <w:ind w:left="66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31(i).2</w:t>
            </w:r>
          </w:p>
        </w:tc>
        <w:tc>
          <w:tcPr>
            <w:tcW w:w="10080" w:type="dxa"/>
            <w:vAlign w:val="bottom"/>
          </w:tcPr>
          <w:p>
            <w:pPr>
              <w:ind w:left="66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32</w:t>
            </w:r>
          </w:p>
        </w:tc>
        <w:tc>
          <w:tcPr>
            <w:tcW w:w="10080" w:type="dxa"/>
            <w:vAlign w:val="bottom"/>
          </w:tcPr>
          <w:p>
            <w:pPr>
              <w:ind w:left="66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99</w:t>
            </w:r>
          </w:p>
        </w:tc>
        <w:tc>
          <w:tcPr>
            <w:tcW w:w="10080" w:type="dxa"/>
            <w:vAlign w:val="bottom"/>
          </w:tcPr>
          <w:p>
            <w:pPr>
              <w:ind w:left="660"/>
              <w:spacing w:after="0"/>
              <w:rPr>
                <w:sz w:val="20"/>
                <w:szCs w:val="20"/>
                <w:color w:val="auto"/>
              </w:rPr>
            </w:pPr>
            <w:r>
              <w:rPr>
                <w:rFonts w:ascii="Arial" w:cs="Arial" w:eastAsia="Arial" w:hAnsi="Arial"/>
                <w:sz w:val="18"/>
                <w:szCs w:val="18"/>
                <w:color w:val="auto"/>
              </w:rPr>
              <w:t>Press release issued April 24, 2013, reporting our results of operations for the first quarter of 2013.</w:t>
            </w: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tcPr>
          <w:p>
            <w:pPr>
              <w:ind w:left="660"/>
              <w:spacing w:after="0"/>
              <w:rPr>
                <w:sz w:val="20"/>
                <w:szCs w:val="20"/>
                <w:color w:val="auto"/>
              </w:rPr>
            </w:pPr>
            <w:r>
              <w:rPr>
                <w:rFonts w:ascii="Arial" w:cs="Arial" w:eastAsia="Arial" w:hAnsi="Arial"/>
                <w:sz w:val="18"/>
                <w:szCs w:val="18"/>
                <w:color w:val="auto"/>
                <w:w w:val="95"/>
              </w:rPr>
              <w:t>The following series of unaudited XBRL-formatted documents are collectively included herewith as Exhibit 101. The financial</w:t>
            </w:r>
          </w:p>
        </w:tc>
      </w:tr>
      <w:tr>
        <w:trPr>
          <w:trHeight w:val="216"/>
        </w:trPr>
        <w:tc>
          <w:tcPr>
            <w:tcW w:w="1180" w:type="dxa"/>
            <w:vAlign w:val="bottom"/>
          </w:tcPr>
          <w:p>
            <w:pPr>
              <w:spacing w:after="0"/>
              <w:rPr>
                <w:sz w:val="18"/>
                <w:szCs w:val="18"/>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w w:val="90"/>
              </w:rPr>
              <w:t>information is extracted from T. Rowe Price Group’s unaudited condensed consolidated interim financial statements and notes that</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are included in this Form 10-Q Report.</w:t>
            </w:r>
          </w:p>
        </w:tc>
      </w:tr>
    </w:tbl>
    <w:p>
      <w:pPr>
        <w:spacing w:after="0" w:line="161" w:lineRule="exact"/>
        <w:rPr>
          <w:sz w:val="20"/>
          <w:szCs w:val="20"/>
          <w:color w:val="auto"/>
        </w:rPr>
      </w:pPr>
    </w:p>
    <w:tbl>
      <w:tblPr>
        <w:tblLayout w:type="fixed"/>
        <w:tblInd w:w="22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6720" w:type="dxa"/>
            <w:vAlign w:val="bottom"/>
          </w:tcPr>
          <w:p>
            <w:pPr>
              <w:ind w:left="220"/>
              <w:spacing w:after="0"/>
              <w:rPr>
                <w:sz w:val="20"/>
                <w:szCs w:val="20"/>
                <w:color w:val="auto"/>
              </w:rPr>
            </w:pPr>
            <w:r>
              <w:rPr>
                <w:rFonts w:ascii="Arial" w:cs="Arial" w:eastAsia="Arial" w:hAnsi="Arial"/>
                <w:sz w:val="18"/>
                <w:szCs w:val="18"/>
                <w:color w:val="auto"/>
              </w:rPr>
              <w:t>XBRL Instance Document (File name: trow-20130331.xml).</w:t>
            </w:r>
          </w:p>
        </w:tc>
      </w:tr>
      <w:tr>
        <w:trPr>
          <w:trHeight w:val="392"/>
        </w:trPr>
        <w:tc>
          <w:tcPr>
            <w:tcW w:w="900" w:type="dxa"/>
            <w:vAlign w:val="bottom"/>
          </w:tcPr>
          <w:p>
            <w:pPr>
              <w:ind w:left="20"/>
              <w:spacing w:after="0"/>
              <w:rPr>
                <w:sz w:val="20"/>
                <w:szCs w:val="20"/>
                <w:color w:val="auto"/>
              </w:rPr>
            </w:pPr>
            <w:r>
              <w:rPr>
                <w:rFonts w:ascii="Arial" w:cs="Arial" w:eastAsia="Arial" w:hAnsi="Arial"/>
                <w:sz w:val="18"/>
                <w:szCs w:val="18"/>
                <w:color w:val="auto"/>
              </w:rPr>
              <w:t>101.SCH</w:t>
            </w:r>
          </w:p>
        </w:tc>
        <w:tc>
          <w:tcPr>
            <w:tcW w:w="672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 name: trow-20130331.xsd).</w:t>
            </w:r>
          </w:p>
        </w:tc>
      </w:tr>
      <w:tr>
        <w:trPr>
          <w:trHeight w:val="392"/>
        </w:trPr>
        <w:tc>
          <w:tcPr>
            <w:tcW w:w="900" w:type="dxa"/>
            <w:vAlign w:val="bottom"/>
          </w:tcPr>
          <w:p>
            <w:pPr>
              <w:ind w:left="20"/>
              <w:spacing w:after="0"/>
              <w:rPr>
                <w:sz w:val="20"/>
                <w:szCs w:val="20"/>
                <w:color w:val="auto"/>
              </w:rPr>
            </w:pPr>
            <w:r>
              <w:rPr>
                <w:rFonts w:ascii="Arial" w:cs="Arial" w:eastAsia="Arial" w:hAnsi="Arial"/>
                <w:sz w:val="18"/>
                <w:szCs w:val="18"/>
                <w:color w:val="auto"/>
              </w:rPr>
              <w:t>101.CAL</w:t>
            </w:r>
          </w:p>
        </w:tc>
        <w:tc>
          <w:tcPr>
            <w:tcW w:w="6720" w:type="dxa"/>
            <w:vAlign w:val="bottom"/>
          </w:tcPr>
          <w:p>
            <w:pPr>
              <w:ind w:left="220"/>
              <w:spacing w:after="0"/>
              <w:rPr>
                <w:sz w:val="20"/>
                <w:szCs w:val="20"/>
                <w:color w:val="auto"/>
              </w:rPr>
            </w:pPr>
            <w:r>
              <w:rPr>
                <w:rFonts w:ascii="Arial" w:cs="Arial" w:eastAsia="Arial" w:hAnsi="Arial"/>
                <w:sz w:val="18"/>
                <w:szCs w:val="18"/>
                <w:color w:val="auto"/>
                <w:w w:val="93"/>
              </w:rPr>
              <w:t>XBRL Taxonomy Calculation Linkbase Document (File name: trow-20130331_cal.xml).</w:t>
            </w:r>
          </w:p>
        </w:tc>
      </w:tr>
      <w:tr>
        <w:trPr>
          <w:trHeight w:val="392"/>
        </w:trPr>
        <w:tc>
          <w:tcPr>
            <w:tcW w:w="900" w:type="dxa"/>
            <w:vAlign w:val="bottom"/>
          </w:tcPr>
          <w:p>
            <w:pPr>
              <w:ind w:left="20"/>
              <w:spacing w:after="0"/>
              <w:rPr>
                <w:sz w:val="20"/>
                <w:szCs w:val="20"/>
                <w:color w:val="auto"/>
              </w:rPr>
            </w:pPr>
            <w:r>
              <w:rPr>
                <w:rFonts w:ascii="Arial" w:cs="Arial" w:eastAsia="Arial" w:hAnsi="Arial"/>
                <w:sz w:val="18"/>
                <w:szCs w:val="18"/>
                <w:color w:val="auto"/>
              </w:rPr>
              <w:t>101.LAB</w:t>
            </w:r>
          </w:p>
        </w:tc>
        <w:tc>
          <w:tcPr>
            <w:tcW w:w="6720" w:type="dxa"/>
            <w:vAlign w:val="bottom"/>
          </w:tcPr>
          <w:p>
            <w:pPr>
              <w:ind w:left="220"/>
              <w:spacing w:after="0"/>
              <w:rPr>
                <w:sz w:val="20"/>
                <w:szCs w:val="20"/>
                <w:color w:val="auto"/>
              </w:rPr>
            </w:pPr>
            <w:r>
              <w:rPr>
                <w:rFonts w:ascii="Arial" w:cs="Arial" w:eastAsia="Arial" w:hAnsi="Arial"/>
                <w:sz w:val="18"/>
                <w:szCs w:val="18"/>
                <w:color w:val="auto"/>
              </w:rPr>
              <w:t>XBRL Taxonomy Label Linkbase Document (File name: trow-20130331_lab.xml).</w:t>
            </w:r>
          </w:p>
        </w:tc>
      </w:tr>
      <w:tr>
        <w:trPr>
          <w:trHeight w:val="392"/>
        </w:trPr>
        <w:tc>
          <w:tcPr>
            <w:tcW w:w="900" w:type="dxa"/>
            <w:vAlign w:val="bottom"/>
          </w:tcPr>
          <w:p>
            <w:pPr>
              <w:ind w:left="20"/>
              <w:spacing w:after="0"/>
              <w:rPr>
                <w:sz w:val="20"/>
                <w:szCs w:val="20"/>
                <w:color w:val="auto"/>
              </w:rPr>
            </w:pPr>
            <w:r>
              <w:rPr>
                <w:rFonts w:ascii="Arial" w:cs="Arial" w:eastAsia="Arial" w:hAnsi="Arial"/>
                <w:sz w:val="18"/>
                <w:szCs w:val="18"/>
                <w:color w:val="auto"/>
              </w:rPr>
              <w:t>101.PRE</w:t>
            </w:r>
          </w:p>
        </w:tc>
        <w:tc>
          <w:tcPr>
            <w:tcW w:w="6720" w:type="dxa"/>
            <w:vAlign w:val="bottom"/>
          </w:tcPr>
          <w:p>
            <w:pPr>
              <w:ind w:left="220"/>
              <w:spacing w:after="0"/>
              <w:rPr>
                <w:sz w:val="20"/>
                <w:szCs w:val="20"/>
                <w:color w:val="auto"/>
              </w:rPr>
            </w:pPr>
            <w:r>
              <w:rPr>
                <w:rFonts w:ascii="Arial" w:cs="Arial" w:eastAsia="Arial" w:hAnsi="Arial"/>
                <w:sz w:val="18"/>
                <w:szCs w:val="18"/>
                <w:color w:val="auto"/>
                <w:w w:val="91"/>
              </w:rPr>
              <w:t>XBRL Taxonomy Presentation Linkbase Document (File name: trow-20130331_pre.xml).</w:t>
            </w:r>
          </w:p>
        </w:tc>
      </w:tr>
      <w:tr>
        <w:trPr>
          <w:trHeight w:val="392"/>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6720" w:type="dxa"/>
            <w:vAlign w:val="bottom"/>
          </w:tcPr>
          <w:p>
            <w:pPr>
              <w:ind w:left="220"/>
              <w:spacing w:after="0"/>
              <w:rPr>
                <w:sz w:val="20"/>
                <w:szCs w:val="20"/>
                <w:color w:val="auto"/>
              </w:rPr>
            </w:pPr>
            <w:r>
              <w:rPr>
                <w:rFonts w:ascii="Arial" w:cs="Arial" w:eastAsia="Arial" w:hAnsi="Arial"/>
                <w:sz w:val="18"/>
                <w:szCs w:val="18"/>
                <w:color w:val="auto"/>
                <w:w w:val="95"/>
              </w:rPr>
              <w:t>XBRL Taxonomy Definition Linkbase Document (File name: trow-20130331_def.xml).</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60"/>
          </w:cols>
          <w:pgMar w:left="240" w:top="364" w:right="299" w:bottom="1440" w:gutter="0" w:footer="0" w:header="0"/>
        </w:sectPr>
      </w:pPr>
    </w:p>
    <w:bookmarkStart w:id="20" w:name="page21"/>
    <w:bookmarkEnd w:id="20"/>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24,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20"/>
          </w:cols>
          <w:pgMar w:left="240" w:top="364" w:right="439" w:bottom="1440" w:gutter="0" w:footer="0" w:header="0"/>
        </w:sectPr>
      </w:pPr>
    </w:p>
    <w:bookmarkStart w:id="21" w:name="page22"/>
    <w:bookmarkEnd w:id="21"/>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 ROWE PRICE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LONG-TERM INCENTIVE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HM REVENUE AND CUSTOMS APPROVED RULES FOR UK EMPLOYEES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Plan adopted by the Board of Directors of Price Group on: 23 February 2012 and approved by the stockholders of Price</w:t>
      </w:r>
    </w:p>
    <w:p>
      <w:pPr>
        <w:jc w:val="center"/>
        <w:spacing w:after="0"/>
        <w:rPr>
          <w:sz w:val="20"/>
          <w:szCs w:val="20"/>
          <w:color w:val="auto"/>
        </w:rPr>
      </w:pPr>
      <w:r>
        <w:rPr>
          <w:rFonts w:ascii="Arial" w:cs="Arial" w:eastAsia="Arial" w:hAnsi="Arial"/>
          <w:sz w:val="20"/>
          <w:szCs w:val="20"/>
          <w:color w:val="auto"/>
        </w:rPr>
        <w:t>Group on: 17 April 2012</w:t>
      </w:r>
    </w:p>
    <w:p>
      <w:pPr>
        <w:spacing w:after="0" w:line="205" w:lineRule="exact"/>
        <w:rPr>
          <w:sz w:val="20"/>
          <w:szCs w:val="20"/>
          <w:color w:val="auto"/>
        </w:rPr>
      </w:pPr>
    </w:p>
    <w:p>
      <w:pPr>
        <w:jc w:val="center"/>
        <w:spacing w:after="0" w:line="272" w:lineRule="auto"/>
        <w:rPr>
          <w:sz w:val="20"/>
          <w:szCs w:val="20"/>
          <w:color w:val="auto"/>
        </w:rPr>
      </w:pPr>
      <w:r>
        <w:rPr>
          <w:rFonts w:ascii="Arial" w:cs="Arial" w:eastAsia="Arial" w:hAnsi="Arial"/>
          <w:sz w:val="20"/>
          <w:szCs w:val="20"/>
          <w:color w:val="auto"/>
        </w:rPr>
        <w:t xml:space="preserve">The Sub-Plan adopted by a resolution of the Executive Compensation Committee of the Board of Directors of Price Group on: </w:t>
      </w:r>
      <w:r>
        <w:rPr>
          <w:rFonts w:ascii="Arial" w:cs="Arial" w:eastAsia="Arial" w:hAnsi="Arial"/>
          <w:sz w:val="20"/>
          <w:szCs w:val="20"/>
          <w:b w:val="1"/>
          <w:bCs w:val="1"/>
          <w:color w:val="auto"/>
        </w:rPr>
        <w:t>5</w:t>
      </w:r>
      <w:r>
        <w:rPr>
          <w:rFonts w:ascii="Arial" w:cs="Arial" w:eastAsia="Arial" w:hAnsi="Arial"/>
          <w:sz w:val="20"/>
          <w:szCs w:val="20"/>
          <w:color w:val="auto"/>
        </w:rPr>
        <w:t xml:space="preserve"> </w:t>
      </w:r>
      <w:r>
        <w:rPr>
          <w:rFonts w:ascii="Arial" w:cs="Arial" w:eastAsia="Arial" w:hAnsi="Arial"/>
          <w:sz w:val="20"/>
          <w:szCs w:val="20"/>
          <w:b w:val="1"/>
          <w:bCs w:val="1"/>
          <w:color w:val="auto"/>
        </w:rPr>
        <w:t>December 2012</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xml:space="preserve">The Sub-Plan approved by the HM Revenue and Customs on: </w:t>
      </w:r>
      <w:r>
        <w:rPr>
          <w:rFonts w:ascii="Arial" w:cs="Arial" w:eastAsia="Arial" w:hAnsi="Arial"/>
          <w:sz w:val="18"/>
          <w:szCs w:val="18"/>
          <w:b w:val="1"/>
          <w:bCs w:val="1"/>
          <w:color w:val="auto"/>
        </w:rPr>
        <w:t>30 January 2013</w:t>
      </w:r>
    </w:p>
    <w:p>
      <w:pPr>
        <w:spacing w:after="0" w:line="229" w:lineRule="exact"/>
        <w:rPr>
          <w:sz w:val="20"/>
          <w:szCs w:val="20"/>
          <w:color w:val="auto"/>
        </w:rPr>
      </w:pPr>
    </w:p>
    <w:p>
      <w:pPr>
        <w:jc w:val="center"/>
        <w:spacing w:after="0" w:line="303" w:lineRule="auto"/>
        <w:rPr>
          <w:sz w:val="20"/>
          <w:szCs w:val="20"/>
          <w:color w:val="auto"/>
        </w:rPr>
      </w:pPr>
      <w:r>
        <w:rPr>
          <w:rFonts w:ascii="Arial" w:cs="Arial" w:eastAsia="Arial" w:hAnsi="Arial"/>
          <w:sz w:val="18"/>
          <w:szCs w:val="18"/>
          <w:color w:val="auto"/>
        </w:rPr>
        <w:t xml:space="preserve">The Sub-Plan amended by a resolution of the Executive Compensation Committee of the Board of Directors of Price Group on: </w:t>
      </w:r>
      <w:r>
        <w:rPr>
          <w:rFonts w:ascii="Arial" w:cs="Arial" w:eastAsia="Arial" w:hAnsi="Arial"/>
          <w:sz w:val="18"/>
          <w:szCs w:val="18"/>
          <w:b w:val="1"/>
          <w:bCs w:val="1"/>
          <w:color w:val="auto"/>
        </w:rPr>
        <w:t>20 February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2013 </w:t>
      </w:r>
      <w:r>
        <w:rPr>
          <w:rFonts w:ascii="Arial" w:cs="Arial" w:eastAsia="Arial" w:hAnsi="Arial"/>
          <w:sz w:val="18"/>
          <w:szCs w:val="18"/>
          <w:color w:val="auto"/>
        </w:rPr>
        <w:t>and approved by HM Revenue and Customs effective of the same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HM Revenue and Customs reference no: X103097/WPR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PricewaterhouseCoopers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Hay’s Galleria</w:t>
      </w:r>
    </w:p>
    <w:p>
      <w:pPr>
        <w:jc w:val="center"/>
        <w:spacing w:after="0"/>
        <w:rPr>
          <w:sz w:val="20"/>
          <w:szCs w:val="20"/>
          <w:color w:val="auto"/>
        </w:rPr>
      </w:pPr>
      <w:r>
        <w:rPr>
          <w:rFonts w:ascii="Arial" w:cs="Arial" w:eastAsia="Arial" w:hAnsi="Arial"/>
          <w:sz w:val="20"/>
          <w:szCs w:val="20"/>
          <w:b w:val="1"/>
          <w:bCs w:val="1"/>
          <w:color w:val="auto"/>
        </w:rPr>
        <w:t>1 Hay’s Lane</w:t>
      </w:r>
    </w:p>
    <w:p>
      <w:pPr>
        <w:jc w:val="center"/>
        <w:spacing w:after="0"/>
        <w:rPr>
          <w:sz w:val="20"/>
          <w:szCs w:val="20"/>
          <w:color w:val="auto"/>
        </w:rPr>
      </w:pPr>
      <w:r>
        <w:rPr>
          <w:rFonts w:ascii="Arial" w:cs="Arial" w:eastAsia="Arial" w:hAnsi="Arial"/>
          <w:sz w:val="20"/>
          <w:szCs w:val="20"/>
          <w:b w:val="1"/>
          <w:bCs w:val="1"/>
          <w:color w:val="auto"/>
        </w:rPr>
        <w:t>London</w:t>
      </w:r>
    </w:p>
    <w:p>
      <w:pPr>
        <w:jc w:val="center"/>
        <w:spacing w:after="0"/>
        <w:rPr>
          <w:sz w:val="20"/>
          <w:szCs w:val="20"/>
          <w:color w:val="auto"/>
        </w:rPr>
      </w:pPr>
      <w:r>
        <w:rPr>
          <w:rFonts w:ascii="Arial" w:cs="Arial" w:eastAsia="Arial" w:hAnsi="Arial"/>
          <w:sz w:val="20"/>
          <w:szCs w:val="20"/>
          <w:b w:val="1"/>
          <w:bCs w:val="1"/>
          <w:color w:val="auto"/>
        </w:rPr>
        <w:t>SE1 2RD</w:t>
      </w:r>
    </w:p>
    <w:p>
      <w:pPr>
        <w:sectPr>
          <w:pgSz w:w="11900" w:h="16838" w:orient="portrait"/>
          <w:cols w:equalWidth="0" w:num="1">
            <w:col w:w="11160"/>
          </w:cols>
          <w:pgMar w:left="380" w:top="1440" w:right="359" w:bottom="1440" w:gutter="0" w:footer="0" w:header="0"/>
        </w:sectPr>
      </w:pPr>
    </w:p>
    <w:bookmarkStart w:id="22" w:name="page23"/>
    <w:bookmarkEnd w:id="22"/>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219"/>
          </w:cols>
          <w:pgMar w:left="240" w:top="847"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SCHEDULE</w:t>
      </w:r>
    </w:p>
    <w:p>
      <w:pPr>
        <w:spacing w:after="0" w:line="229" w:lineRule="exact"/>
        <w:rPr>
          <w:sz w:val="20"/>
          <w:szCs w:val="20"/>
          <w:color w:val="auto"/>
        </w:rPr>
      </w:pPr>
    </w:p>
    <w:p>
      <w:pPr>
        <w:jc w:val="center"/>
        <w:ind w:left="260" w:right="2280"/>
        <w:spacing w:after="0" w:line="255" w:lineRule="auto"/>
        <w:rPr>
          <w:sz w:val="20"/>
          <w:szCs w:val="20"/>
          <w:color w:val="auto"/>
        </w:rPr>
      </w:pPr>
      <w:r>
        <w:rPr>
          <w:rFonts w:ascii="Arial" w:cs="Arial" w:eastAsia="Arial" w:hAnsi="Arial"/>
          <w:sz w:val="20"/>
          <w:szCs w:val="20"/>
          <w:b w:val="1"/>
          <w:bCs w:val="1"/>
          <w:color w:val="auto"/>
        </w:rPr>
        <w:t>T. ROWE PRICE GROUP, INC. 2012 LONG-TERM INCENTIVE PLAN HM REVENUE AND CUSTOMS APPROVED RULES FOR UK EMPLOYEES (THE “SUB-PLAN”)</w:t>
      </w: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General</w:t>
      </w:r>
    </w:p>
    <w:p>
      <w:pPr>
        <w:spacing w:after="0" w:line="242" w:lineRule="exact"/>
        <w:rPr>
          <w:rFonts w:ascii="Arial" w:cs="Arial" w:eastAsia="Arial" w:hAnsi="Arial"/>
          <w:sz w:val="20"/>
          <w:szCs w:val="20"/>
          <w:color w:val="auto"/>
        </w:rPr>
      </w:pPr>
    </w:p>
    <w:p>
      <w:pPr>
        <w:ind w:left="660" w:right="260"/>
        <w:spacing w:after="0" w:line="255" w:lineRule="auto"/>
        <w:rPr>
          <w:rFonts w:ascii="Arial" w:cs="Arial" w:eastAsia="Arial" w:hAnsi="Arial"/>
          <w:sz w:val="20"/>
          <w:szCs w:val="20"/>
          <w:color w:val="auto"/>
        </w:rPr>
      </w:pPr>
      <w:r>
        <w:rPr>
          <w:rFonts w:ascii="Arial" w:cs="Arial" w:eastAsia="Arial" w:hAnsi="Arial"/>
          <w:sz w:val="20"/>
          <w:szCs w:val="20"/>
          <w:color w:val="auto"/>
        </w:rPr>
        <w:t>This Schedule to T. Rowe Price Group, Inc. 2012 Long-Term Incentive Plan (the “</w:t>
      </w:r>
      <w:r>
        <w:rPr>
          <w:rFonts w:ascii="Arial" w:cs="Arial" w:eastAsia="Arial" w:hAnsi="Arial"/>
          <w:sz w:val="20"/>
          <w:szCs w:val="20"/>
          <w:b w:val="1"/>
          <w:bCs w:val="1"/>
          <w:color w:val="auto"/>
        </w:rPr>
        <w:t>Plan</w:t>
      </w:r>
      <w:r>
        <w:rPr>
          <w:rFonts w:ascii="Arial" w:cs="Arial" w:eastAsia="Arial" w:hAnsi="Arial"/>
          <w:sz w:val="20"/>
          <w:szCs w:val="20"/>
          <w:color w:val="auto"/>
        </w:rPr>
        <w:t>”) and appended Statement of Additional Terms and Conditions regarding Awards of Stock Options (version 2C) (the “</w:t>
      </w:r>
      <w:r>
        <w:rPr>
          <w:rFonts w:ascii="Arial" w:cs="Arial" w:eastAsia="Arial" w:hAnsi="Arial"/>
          <w:sz w:val="20"/>
          <w:szCs w:val="20"/>
          <w:b w:val="1"/>
          <w:bCs w:val="1"/>
          <w:color w:val="auto"/>
        </w:rPr>
        <w:t>Terms</w:t>
      </w:r>
      <w:r>
        <w:rPr>
          <w:rFonts w:ascii="Arial" w:cs="Arial" w:eastAsia="Arial" w:hAnsi="Arial"/>
          <w:sz w:val="20"/>
          <w:szCs w:val="20"/>
          <w:color w:val="auto"/>
        </w:rPr>
        <w:t>”) set out the HM Revenue and Customs Approved Rules for UK Employees (together referred to as the “</w:t>
      </w:r>
      <w:r>
        <w:rPr>
          <w:rFonts w:ascii="Arial" w:cs="Arial" w:eastAsia="Arial" w:hAnsi="Arial"/>
          <w:sz w:val="20"/>
          <w:szCs w:val="20"/>
          <w:b w:val="1"/>
          <w:bCs w:val="1"/>
          <w:color w:val="auto"/>
        </w:rPr>
        <w:t>Sub-Plan</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660" w:hanging="652"/>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Establishment of Sub-Plan</w:t>
      </w:r>
    </w:p>
    <w:p>
      <w:pPr>
        <w:spacing w:after="0" w:line="229" w:lineRule="exact"/>
        <w:rPr>
          <w:rFonts w:ascii="Arial" w:cs="Arial" w:eastAsia="Arial" w:hAnsi="Arial"/>
          <w:sz w:val="20"/>
          <w:szCs w:val="20"/>
          <w:b w:val="1"/>
          <w:bCs w:val="1"/>
          <w:color w:val="auto"/>
        </w:rPr>
      </w:pPr>
    </w:p>
    <w:p>
      <w:pPr>
        <w:jc w:val="both"/>
        <w:ind w:left="660"/>
        <w:spacing w:after="0" w:line="237" w:lineRule="exact"/>
        <w:rPr>
          <w:rFonts w:ascii="Arial" w:cs="Arial" w:eastAsia="Arial" w:hAnsi="Arial"/>
          <w:sz w:val="20"/>
          <w:szCs w:val="20"/>
          <w:b w:val="1"/>
          <w:bCs w:val="1"/>
          <w:color w:val="auto"/>
        </w:rPr>
      </w:pPr>
      <w:r>
        <w:rPr>
          <w:rFonts w:ascii="Arial" w:cs="Arial" w:eastAsia="Arial" w:hAnsi="Arial"/>
          <w:sz w:val="20"/>
          <w:szCs w:val="20"/>
          <w:color w:val="auto"/>
        </w:rPr>
        <w:t>T. Rowe Price Group, Inc., a Maryland corporation (“</w:t>
      </w:r>
      <w:r>
        <w:rPr>
          <w:rFonts w:ascii="Arial" w:cs="Arial" w:eastAsia="Arial" w:hAnsi="Arial"/>
          <w:sz w:val="20"/>
          <w:szCs w:val="20"/>
          <w:b w:val="1"/>
          <w:bCs w:val="1"/>
          <w:color w:val="auto"/>
        </w:rPr>
        <w:t>Price Group</w:t>
      </w:r>
      <w:r>
        <w:rPr>
          <w:rFonts w:ascii="Arial" w:cs="Arial" w:eastAsia="Arial" w:hAnsi="Arial"/>
          <w:sz w:val="20"/>
          <w:szCs w:val="20"/>
          <w:color w:val="auto"/>
        </w:rPr>
        <w:t>”) has established the Sub-Plan under Section 4(b)(viii) of the Plan which authorises the Administrator to adopt, amend, modify, administer or terminate sub</w:t>
      </w:r>
      <w:r>
        <w:rPr>
          <w:rFonts w:ascii="MS PGothic" w:cs="MS PGothic" w:eastAsia="MS PGothic" w:hAnsi="MS PGothic"/>
          <w:sz w:val="20"/>
          <w:szCs w:val="20"/>
          <w:color w:val="auto"/>
        </w:rPr>
        <w:t>‑</w:t>
      </w:r>
      <w:r>
        <w:rPr>
          <w:rFonts w:ascii="Arial" w:cs="Arial" w:eastAsia="Arial" w:hAnsi="Arial"/>
          <w:sz w:val="20"/>
          <w:szCs w:val="20"/>
          <w:color w:val="auto"/>
        </w:rPr>
        <w:t>plans for any purpose, including but not limited to, qualifying for preferred tax treatment, accommodating the customs or otherwise complying with the regulatory requirements of local or foreign (non-United States) jurisdictions.</w:t>
      </w:r>
    </w:p>
    <w:p>
      <w:pPr>
        <w:spacing w:after="0" w:line="214" w:lineRule="exact"/>
        <w:rPr>
          <w:rFonts w:ascii="Arial" w:cs="Arial" w:eastAsia="Arial" w:hAnsi="Arial"/>
          <w:sz w:val="20"/>
          <w:szCs w:val="20"/>
          <w:b w:val="1"/>
          <w:bCs w:val="1"/>
          <w:color w:val="auto"/>
        </w:rPr>
      </w:pPr>
    </w:p>
    <w:p>
      <w:pPr>
        <w:ind w:left="660" w:hanging="652"/>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Purpose of Sub-Plan</w:t>
      </w:r>
    </w:p>
    <w:p>
      <w:pPr>
        <w:spacing w:after="0" w:line="253" w:lineRule="exact"/>
        <w:rPr>
          <w:rFonts w:ascii="Arial" w:cs="Arial" w:eastAsia="Arial" w:hAnsi="Arial"/>
          <w:sz w:val="20"/>
          <w:szCs w:val="20"/>
          <w:b w:val="1"/>
          <w:bCs w:val="1"/>
          <w:color w:val="auto"/>
        </w:rPr>
      </w:pPr>
    </w:p>
    <w:p>
      <w:pPr>
        <w:ind w:left="660" w:right="12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purpose of the Sub-Plan is to enable the grant to, and subsequent exercise by, employees and directors in the United Kingdom, on a tax favoured basis, of options to acquire shares in Price Group under the Plan.</w:t>
      </w:r>
    </w:p>
    <w:p>
      <w:pPr>
        <w:spacing w:after="0" w:line="191" w:lineRule="exact"/>
        <w:rPr>
          <w:rFonts w:ascii="Arial" w:cs="Arial" w:eastAsia="Arial" w:hAnsi="Arial"/>
          <w:sz w:val="20"/>
          <w:szCs w:val="20"/>
          <w:b w:val="1"/>
          <w:bCs w:val="1"/>
          <w:color w:val="auto"/>
        </w:rPr>
      </w:pPr>
    </w:p>
    <w:p>
      <w:pPr>
        <w:ind w:left="660" w:hanging="652"/>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HM Revenue and Customs approval of Sub-Plan</w:t>
      </w:r>
    </w:p>
    <w:p>
      <w:pPr>
        <w:spacing w:after="0" w:line="25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The Sub-Plan is intended to be approved by HM Revenue and Customs under Schedule 4.</w:t>
      </w:r>
    </w:p>
    <w:p>
      <w:pPr>
        <w:spacing w:after="0" w:line="205" w:lineRule="exact"/>
        <w:rPr>
          <w:rFonts w:ascii="Arial" w:cs="Arial" w:eastAsia="Arial" w:hAnsi="Arial"/>
          <w:sz w:val="20"/>
          <w:szCs w:val="20"/>
          <w:b w:val="1"/>
          <w:bCs w:val="1"/>
          <w:color w:val="auto"/>
        </w:rPr>
      </w:pPr>
    </w:p>
    <w:p>
      <w:pPr>
        <w:ind w:left="660" w:hanging="652"/>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Rules of Sub-Plan</w:t>
      </w:r>
    </w:p>
    <w:p>
      <w:pPr>
        <w:spacing w:after="0" w:line="253" w:lineRule="exact"/>
        <w:rPr>
          <w:rFonts w:ascii="Arial" w:cs="Arial" w:eastAsia="Arial" w:hAnsi="Arial"/>
          <w:sz w:val="20"/>
          <w:szCs w:val="20"/>
          <w:b w:val="1"/>
          <w:bCs w:val="1"/>
          <w:color w:val="auto"/>
        </w:rPr>
      </w:pPr>
    </w:p>
    <w:p>
      <w:pPr>
        <w:jc w:val="both"/>
        <w:ind w:left="66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The rules of the Plan, in their present form and as amended from time to time, shall, with the modifications set out in this Schedule, form the rules of the Sub-Plan. In the event of any conflict between the rules of the Plan and this Schedule, the Schedule shall prevail.</w:t>
      </w:r>
    </w:p>
    <w:p>
      <w:pPr>
        <w:spacing w:after="0" w:line="195" w:lineRule="exact"/>
        <w:rPr>
          <w:rFonts w:ascii="Arial" w:cs="Arial" w:eastAsia="Arial" w:hAnsi="Arial"/>
          <w:sz w:val="20"/>
          <w:szCs w:val="20"/>
          <w:b w:val="1"/>
          <w:bCs w:val="1"/>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Relationship of Sub-Plan to Plan</w:t>
      </w:r>
    </w:p>
    <w:p>
      <w:pPr>
        <w:spacing w:after="0" w:line="26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Sub-Plan shall form part of the Plan and not a separate and independent plan.</w:t>
      </w:r>
    </w:p>
    <w:p>
      <w:pPr>
        <w:spacing w:after="0" w:line="205" w:lineRule="exact"/>
        <w:rPr>
          <w:rFonts w:ascii="Arial" w:cs="Arial" w:eastAsia="Arial" w:hAnsi="Arial"/>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Interpretation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55"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9"/>
          <w:szCs w:val="19"/>
          <w:color w:val="auto"/>
        </w:rPr>
        <w:t>In the Sub-Plan, unless the context otherwise requires, the following words and expressions have the following meanings:</w:t>
      </w:r>
    </w:p>
    <w:p>
      <w:pPr>
        <w:spacing w:after="0" w:line="379" w:lineRule="exact"/>
        <w:rPr>
          <w:sz w:val="20"/>
          <w:szCs w:val="20"/>
          <w:color w:val="auto"/>
        </w:rPr>
      </w:pPr>
    </w:p>
    <w:tbl>
      <w:tblPr>
        <w:tblLayout w:type="fixed"/>
        <w:tblInd w:w="760" w:type="dxa"/>
        <w:tblCellMar>
          <w:top w:w="0" w:type="dxa"/>
          <w:left w:w="0" w:type="dxa"/>
          <w:bottom w:w="0" w:type="dxa"/>
          <w:right w:w="0" w:type="dxa"/>
        </w:tblCellMar>
      </w:tblPr>
      <w:tr>
        <w:trPr>
          <w:trHeight w:val="240"/>
        </w:trPr>
        <w:tc>
          <w:tcPr>
            <w:tcW w:w="2860" w:type="dxa"/>
            <w:vAlign w:val="bottom"/>
          </w:tcPr>
          <w:p>
            <w:pPr>
              <w:spacing w:after="0"/>
              <w:rPr>
                <w:sz w:val="20"/>
                <w:szCs w:val="20"/>
                <w:color w:val="auto"/>
              </w:rPr>
            </w:pPr>
            <w:r>
              <w:rPr>
                <w:rFonts w:ascii="Arial" w:cs="Arial" w:eastAsia="Arial" w:hAnsi="Arial"/>
                <w:sz w:val="20"/>
                <w:szCs w:val="20"/>
                <w:b w:val="1"/>
                <w:bCs w:val="1"/>
                <w:color w:val="auto"/>
              </w:rPr>
              <w:t>Acquiring Company</w:t>
            </w:r>
          </w:p>
        </w:tc>
        <w:tc>
          <w:tcPr>
            <w:tcW w:w="6600" w:type="dxa"/>
            <w:vAlign w:val="bottom"/>
          </w:tcPr>
          <w:p>
            <w:pPr>
              <w:ind w:left="860"/>
              <w:spacing w:after="0"/>
              <w:rPr>
                <w:sz w:val="20"/>
                <w:szCs w:val="20"/>
                <w:color w:val="auto"/>
              </w:rPr>
            </w:pPr>
            <w:r>
              <w:rPr>
                <w:rFonts w:ascii="Arial" w:cs="Arial" w:eastAsia="Arial" w:hAnsi="Arial"/>
                <w:sz w:val="20"/>
                <w:szCs w:val="20"/>
                <w:color w:val="auto"/>
              </w:rPr>
              <w:t>a  company  which  obtains  Control  of  Price  Group  in  the</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rPr>
              <w:t>circumstances referred to in rule 26;</w:t>
            </w:r>
          </w:p>
        </w:tc>
        <w:tc>
          <w:tcPr>
            <w:tcW w:w="0" w:type="dxa"/>
            <w:vAlign w:val="bottom"/>
          </w:tcPr>
          <w:p>
            <w:pPr>
              <w:spacing w:after="0"/>
              <w:rPr>
                <w:sz w:val="1"/>
                <w:szCs w:val="1"/>
                <w:color w:val="auto"/>
              </w:rPr>
            </w:pPr>
          </w:p>
        </w:tc>
      </w:tr>
      <w:tr>
        <w:trPr>
          <w:trHeight w:val="249"/>
        </w:trPr>
        <w:tc>
          <w:tcPr>
            <w:tcW w:w="2860" w:type="dxa"/>
            <w:vAlign w:val="bottom"/>
          </w:tcPr>
          <w:p>
            <w:pPr>
              <w:spacing w:after="0"/>
              <w:rPr>
                <w:sz w:val="20"/>
                <w:szCs w:val="20"/>
                <w:color w:val="auto"/>
              </w:rPr>
            </w:pPr>
            <w:r>
              <w:rPr>
                <w:rFonts w:ascii="Arial" w:cs="Arial" w:eastAsia="Arial" w:hAnsi="Arial"/>
                <w:sz w:val="20"/>
                <w:szCs w:val="20"/>
                <w:b w:val="1"/>
                <w:bCs w:val="1"/>
                <w:color w:val="auto"/>
              </w:rPr>
              <w:t>Approval Date</w:t>
            </w:r>
          </w:p>
        </w:tc>
        <w:tc>
          <w:tcPr>
            <w:tcW w:w="6600" w:type="dxa"/>
            <w:vAlign w:val="bottom"/>
          </w:tcPr>
          <w:p>
            <w:pPr>
              <w:ind w:left="860"/>
              <w:spacing w:after="0"/>
              <w:rPr>
                <w:sz w:val="20"/>
                <w:szCs w:val="20"/>
                <w:color w:val="auto"/>
              </w:rPr>
            </w:pPr>
            <w:r>
              <w:rPr>
                <w:rFonts w:ascii="Arial" w:cs="Arial" w:eastAsia="Arial" w:hAnsi="Arial"/>
                <w:sz w:val="20"/>
                <w:szCs w:val="20"/>
                <w:color w:val="auto"/>
                <w:w w:val="99"/>
              </w:rPr>
              <w:t>the date on which the Sub-Plan is approved by HM Revenue and</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rPr>
              <w:t>Customs under Schedule 4;</w:t>
            </w:r>
          </w:p>
        </w:tc>
        <w:tc>
          <w:tcPr>
            <w:tcW w:w="0" w:type="dxa"/>
            <w:vAlign w:val="bottom"/>
          </w:tcPr>
          <w:p>
            <w:pPr>
              <w:spacing w:after="0"/>
              <w:rPr>
                <w:sz w:val="1"/>
                <w:szCs w:val="1"/>
                <w:color w:val="auto"/>
              </w:rPr>
            </w:pPr>
          </w:p>
        </w:tc>
      </w:tr>
      <w:tr>
        <w:trPr>
          <w:trHeight w:val="465"/>
        </w:trPr>
        <w:tc>
          <w:tcPr>
            <w:tcW w:w="2860" w:type="dxa"/>
            <w:vAlign w:val="bottom"/>
          </w:tcPr>
          <w:p>
            <w:pPr>
              <w:spacing w:after="0"/>
              <w:rPr>
                <w:sz w:val="20"/>
                <w:szCs w:val="20"/>
                <w:color w:val="auto"/>
              </w:rPr>
            </w:pPr>
            <w:r>
              <w:rPr>
                <w:rFonts w:ascii="Arial" w:cs="Arial" w:eastAsia="Arial" w:hAnsi="Arial"/>
                <w:sz w:val="20"/>
                <w:szCs w:val="20"/>
                <w:b w:val="1"/>
                <w:bCs w:val="1"/>
                <w:color w:val="auto"/>
              </w:rPr>
              <w:t>Associated Company</w:t>
            </w:r>
          </w:p>
        </w:tc>
        <w:tc>
          <w:tcPr>
            <w:tcW w:w="6600" w:type="dxa"/>
            <w:vAlign w:val="bottom"/>
          </w:tcPr>
          <w:p>
            <w:pPr>
              <w:ind w:left="860"/>
              <w:spacing w:after="0"/>
              <w:rPr>
                <w:sz w:val="20"/>
                <w:szCs w:val="20"/>
                <w:color w:val="auto"/>
              </w:rPr>
            </w:pPr>
            <w:r>
              <w:rPr>
                <w:rFonts w:ascii="Arial" w:cs="Arial" w:eastAsia="Arial" w:hAnsi="Arial"/>
                <w:sz w:val="20"/>
                <w:szCs w:val="20"/>
                <w:color w:val="auto"/>
              </w:rPr>
              <w:t>the  meaning  given  to  that  expression  by  paragraph  35  of</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rPr>
              <w:t>Schedule 4;</w:t>
            </w:r>
          </w:p>
        </w:tc>
        <w:tc>
          <w:tcPr>
            <w:tcW w:w="0" w:type="dxa"/>
            <w:vAlign w:val="bottom"/>
          </w:tcPr>
          <w:p>
            <w:pPr>
              <w:spacing w:after="0"/>
              <w:rPr>
                <w:sz w:val="1"/>
                <w:szCs w:val="1"/>
                <w:color w:val="auto"/>
              </w:rPr>
            </w:pPr>
          </w:p>
        </w:tc>
      </w:tr>
      <w:tr>
        <w:trPr>
          <w:trHeight w:val="465"/>
        </w:trPr>
        <w:tc>
          <w:tcPr>
            <w:tcW w:w="2860" w:type="dxa"/>
            <w:vAlign w:val="bottom"/>
          </w:tcPr>
          <w:p>
            <w:pPr>
              <w:spacing w:after="0"/>
              <w:rPr>
                <w:sz w:val="20"/>
                <w:szCs w:val="20"/>
                <w:color w:val="auto"/>
              </w:rPr>
            </w:pPr>
            <w:r>
              <w:rPr>
                <w:rFonts w:ascii="Arial" w:cs="Arial" w:eastAsia="Arial" w:hAnsi="Arial"/>
                <w:sz w:val="20"/>
                <w:szCs w:val="20"/>
                <w:b w:val="1"/>
                <w:bCs w:val="1"/>
                <w:color w:val="auto"/>
              </w:rPr>
              <w:t>Close Company</w:t>
            </w:r>
          </w:p>
        </w:tc>
        <w:tc>
          <w:tcPr>
            <w:tcW w:w="6600" w:type="dxa"/>
            <w:vAlign w:val="bottom"/>
          </w:tcPr>
          <w:p>
            <w:pPr>
              <w:ind w:left="860"/>
              <w:spacing w:after="0"/>
              <w:rPr>
                <w:sz w:val="20"/>
                <w:szCs w:val="20"/>
                <w:color w:val="auto"/>
              </w:rPr>
            </w:pPr>
            <w:r>
              <w:rPr>
                <w:rFonts w:ascii="Arial" w:cs="Arial" w:eastAsia="Arial" w:hAnsi="Arial"/>
                <w:sz w:val="20"/>
                <w:szCs w:val="20"/>
                <w:color w:val="auto"/>
                <w:w w:val="98"/>
              </w:rPr>
              <w:t>the meaning given to that expression by section 439 of CTA 2010</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rPr>
              <w:t>as referred by paragraph 37 of Schedule 4;</w:t>
            </w:r>
          </w:p>
        </w:tc>
        <w:tc>
          <w:tcPr>
            <w:tcW w:w="0" w:type="dxa"/>
            <w:vAlign w:val="bottom"/>
          </w:tcPr>
          <w:p>
            <w:pPr>
              <w:spacing w:after="0"/>
              <w:rPr>
                <w:sz w:val="1"/>
                <w:szCs w:val="1"/>
                <w:color w:val="auto"/>
              </w:rPr>
            </w:pPr>
          </w:p>
        </w:tc>
      </w:tr>
      <w:tr>
        <w:trPr>
          <w:trHeight w:val="465"/>
        </w:trPr>
        <w:tc>
          <w:tcPr>
            <w:tcW w:w="2860" w:type="dxa"/>
            <w:vAlign w:val="bottom"/>
          </w:tcPr>
          <w:p>
            <w:pPr>
              <w:spacing w:after="0"/>
              <w:rPr>
                <w:sz w:val="20"/>
                <w:szCs w:val="20"/>
                <w:color w:val="auto"/>
              </w:rPr>
            </w:pPr>
            <w:r>
              <w:rPr>
                <w:rFonts w:ascii="Arial" w:cs="Arial" w:eastAsia="Arial" w:hAnsi="Arial"/>
                <w:sz w:val="20"/>
                <w:szCs w:val="20"/>
                <w:b w:val="1"/>
                <w:bCs w:val="1"/>
                <w:color w:val="auto"/>
              </w:rPr>
              <w:t>Consortium</w:t>
            </w:r>
          </w:p>
        </w:tc>
        <w:tc>
          <w:tcPr>
            <w:tcW w:w="6600" w:type="dxa"/>
            <w:vAlign w:val="bottom"/>
          </w:tcPr>
          <w:p>
            <w:pPr>
              <w:ind w:left="860"/>
              <w:spacing w:after="0"/>
              <w:rPr>
                <w:sz w:val="20"/>
                <w:szCs w:val="20"/>
                <w:color w:val="auto"/>
              </w:rPr>
            </w:pPr>
            <w:r>
              <w:rPr>
                <w:rFonts w:ascii="Arial" w:cs="Arial" w:eastAsia="Arial" w:hAnsi="Arial"/>
                <w:sz w:val="20"/>
                <w:szCs w:val="20"/>
                <w:color w:val="auto"/>
              </w:rPr>
              <w:t>the meaning given to that word by paragraph 36(2) of Schedule</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65"/>
        </w:trPr>
        <w:tc>
          <w:tcPr>
            <w:tcW w:w="2860" w:type="dxa"/>
            <w:vAlign w:val="bottom"/>
          </w:tcPr>
          <w:p>
            <w:pPr>
              <w:spacing w:after="0"/>
              <w:rPr>
                <w:sz w:val="20"/>
                <w:szCs w:val="20"/>
                <w:color w:val="auto"/>
              </w:rPr>
            </w:pPr>
            <w:r>
              <w:rPr>
                <w:rFonts w:ascii="Arial" w:cs="Arial" w:eastAsia="Arial" w:hAnsi="Arial"/>
                <w:sz w:val="20"/>
                <w:szCs w:val="20"/>
                <w:b w:val="1"/>
                <w:bCs w:val="1"/>
                <w:color w:val="auto"/>
              </w:rPr>
              <w:t>Control</w:t>
            </w:r>
          </w:p>
        </w:tc>
        <w:tc>
          <w:tcPr>
            <w:tcW w:w="6600" w:type="dxa"/>
            <w:vAlign w:val="bottom"/>
          </w:tcPr>
          <w:p>
            <w:pPr>
              <w:ind w:left="860"/>
              <w:spacing w:after="0"/>
              <w:rPr>
                <w:sz w:val="20"/>
                <w:szCs w:val="20"/>
                <w:color w:val="auto"/>
              </w:rPr>
            </w:pPr>
            <w:r>
              <w:rPr>
                <w:rFonts w:ascii="Arial" w:cs="Arial" w:eastAsia="Arial" w:hAnsi="Arial"/>
                <w:sz w:val="20"/>
                <w:szCs w:val="20"/>
                <w:color w:val="auto"/>
              </w:rPr>
              <w:t>the meaning given to that word by section 719 of ITEPA 2003</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rPr>
              <w:t>and “Controlled” shall be construed accordingly;</w:t>
            </w:r>
          </w:p>
        </w:tc>
        <w:tc>
          <w:tcPr>
            <w:tcW w:w="0" w:type="dxa"/>
            <w:vAlign w:val="bottom"/>
          </w:tcPr>
          <w:p>
            <w:pPr>
              <w:spacing w:after="0"/>
              <w:rPr>
                <w:sz w:val="1"/>
                <w:szCs w:val="1"/>
                <w:color w:val="auto"/>
              </w:rPr>
            </w:pPr>
          </w:p>
        </w:tc>
      </w:tr>
      <w:tr>
        <w:trPr>
          <w:trHeight w:val="432"/>
        </w:trPr>
        <w:tc>
          <w:tcPr>
            <w:tcW w:w="2860" w:type="dxa"/>
            <w:vAlign w:val="bottom"/>
            <w:vMerge w:val="restart"/>
          </w:tcPr>
          <w:p>
            <w:pPr>
              <w:spacing w:after="0"/>
              <w:rPr>
                <w:sz w:val="20"/>
                <w:szCs w:val="20"/>
                <w:color w:val="auto"/>
              </w:rPr>
            </w:pPr>
            <w:r>
              <w:rPr>
                <w:rFonts w:ascii="Arial" w:cs="Arial" w:eastAsia="Arial" w:hAnsi="Arial"/>
                <w:sz w:val="20"/>
                <w:szCs w:val="20"/>
                <w:b w:val="1"/>
                <w:bCs w:val="1"/>
                <w:color w:val="auto"/>
              </w:rPr>
              <w:t>CTA 2010</w:t>
            </w:r>
          </w:p>
        </w:tc>
        <w:tc>
          <w:tcPr>
            <w:tcW w:w="6600" w:type="dxa"/>
            <w:vAlign w:val="bottom"/>
          </w:tcPr>
          <w:p>
            <w:pPr>
              <w:ind w:left="860"/>
              <w:spacing w:after="0"/>
              <w:rPr>
                <w:sz w:val="20"/>
                <w:szCs w:val="20"/>
                <w:color w:val="auto"/>
              </w:rPr>
            </w:pPr>
            <w:r>
              <w:rPr>
                <w:rFonts w:ascii="Arial" w:cs="Arial" w:eastAsia="Arial" w:hAnsi="Arial"/>
                <w:sz w:val="20"/>
                <w:szCs w:val="20"/>
                <w:color w:val="auto"/>
              </w:rPr>
              <w:t>The Corporation Tax Act 2010</w:t>
            </w: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60" w:type="dxa"/>
            <w:vAlign w:val="bottom"/>
          </w:tcPr>
          <w:p>
            <w:pPr>
              <w:spacing w:after="0"/>
              <w:rPr>
                <w:sz w:val="20"/>
                <w:szCs w:val="20"/>
                <w:color w:val="auto"/>
              </w:rPr>
            </w:pPr>
            <w:r>
              <w:rPr>
                <w:rFonts w:ascii="Arial" w:cs="Arial" w:eastAsia="Arial" w:hAnsi="Arial"/>
                <w:sz w:val="20"/>
                <w:szCs w:val="20"/>
                <w:b w:val="1"/>
                <w:bCs w:val="1"/>
                <w:color w:val="auto"/>
              </w:rPr>
              <w:t>Date of Grant</w:t>
            </w:r>
          </w:p>
        </w:tc>
        <w:tc>
          <w:tcPr>
            <w:tcW w:w="6600" w:type="dxa"/>
            <w:vAlign w:val="bottom"/>
          </w:tcPr>
          <w:p>
            <w:pPr>
              <w:ind w:left="860"/>
              <w:spacing w:after="0"/>
              <w:rPr>
                <w:sz w:val="20"/>
                <w:szCs w:val="20"/>
                <w:color w:val="auto"/>
              </w:rPr>
            </w:pPr>
            <w:r>
              <w:rPr>
                <w:rFonts w:ascii="Arial" w:cs="Arial" w:eastAsia="Arial" w:hAnsi="Arial"/>
                <w:sz w:val="20"/>
                <w:szCs w:val="20"/>
                <w:color w:val="auto"/>
              </w:rPr>
              <w:t>the date on which an Option is granted to an Eligible Individual</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rPr>
              <w:t>determined in accordance with Section 7(c) of the Plan;</w:t>
            </w:r>
          </w:p>
        </w:tc>
        <w:tc>
          <w:tcPr>
            <w:tcW w:w="0" w:type="dxa"/>
            <w:vAlign w:val="bottom"/>
          </w:tcPr>
          <w:p>
            <w:pPr>
              <w:spacing w:after="0"/>
              <w:rPr>
                <w:sz w:val="1"/>
                <w:szCs w:val="1"/>
                <w:color w:val="auto"/>
              </w:rPr>
            </w:pPr>
          </w:p>
        </w:tc>
      </w:tr>
      <w:tr>
        <w:trPr>
          <w:trHeight w:val="486"/>
        </w:trPr>
        <w:tc>
          <w:tcPr>
            <w:tcW w:w="2860" w:type="dxa"/>
            <w:vAlign w:val="bottom"/>
          </w:tcPr>
          <w:p>
            <w:pPr>
              <w:spacing w:after="0"/>
              <w:rPr>
                <w:sz w:val="20"/>
                <w:szCs w:val="20"/>
                <w:color w:val="auto"/>
              </w:rPr>
            </w:pPr>
            <w:r>
              <w:rPr>
                <w:rFonts w:ascii="Arial" w:cs="Arial" w:eastAsia="Arial" w:hAnsi="Arial"/>
                <w:sz w:val="20"/>
                <w:szCs w:val="20"/>
                <w:b w:val="1"/>
                <w:bCs w:val="1"/>
                <w:color w:val="auto"/>
              </w:rPr>
              <w:t>Eligible Individual</w:t>
            </w:r>
          </w:p>
        </w:tc>
        <w:tc>
          <w:tcPr>
            <w:tcW w:w="6600" w:type="dxa"/>
            <w:vAlign w:val="bottom"/>
          </w:tcPr>
          <w:p>
            <w:pPr>
              <w:ind w:left="860"/>
              <w:spacing w:after="0"/>
              <w:rPr>
                <w:sz w:val="20"/>
                <w:szCs w:val="20"/>
                <w:color w:val="auto"/>
              </w:rPr>
            </w:pPr>
            <w:r>
              <w:rPr>
                <w:rFonts w:ascii="Arial" w:cs="Arial" w:eastAsia="Arial" w:hAnsi="Arial"/>
                <w:sz w:val="20"/>
                <w:szCs w:val="20"/>
                <w:color w:val="auto"/>
              </w:rPr>
              <w:t>an individual who falls within Section 6 of the Plan and who is:</w:t>
            </w:r>
          </w:p>
        </w:tc>
        <w:tc>
          <w:tcPr>
            <w:tcW w:w="0" w:type="dxa"/>
            <w:vAlign w:val="bottom"/>
          </w:tcPr>
          <w:p>
            <w:pPr>
              <w:spacing w:after="0"/>
              <w:rPr>
                <w:sz w:val="1"/>
                <w:szCs w:val="1"/>
                <w:color w:val="auto"/>
              </w:rPr>
            </w:pPr>
          </w:p>
        </w:tc>
      </w:tr>
      <w:tr>
        <w:trPr>
          <w:trHeight w:val="425"/>
        </w:trPr>
        <w:tc>
          <w:tcPr>
            <w:tcW w:w="2860" w:type="dxa"/>
            <w:vAlign w:val="bottom"/>
          </w:tcPr>
          <w:p>
            <w:pPr>
              <w:spacing w:after="0"/>
              <w:rPr>
                <w:sz w:val="24"/>
                <w:szCs w:val="24"/>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(a)</w:t>
            </w:r>
            <w:r>
              <w:rPr>
                <w:rFonts w:ascii="Arial" w:cs="Arial" w:eastAsia="Arial" w:hAnsi="Arial"/>
                <w:sz w:val="20"/>
                <w:szCs w:val="20"/>
                <w:color w:val="auto"/>
              </w:rPr>
              <w:t>an employee (other than a director) of Price Group or a</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1260"/>
              <w:spacing w:after="0"/>
              <w:rPr>
                <w:sz w:val="20"/>
                <w:szCs w:val="20"/>
                <w:color w:val="auto"/>
              </w:rPr>
            </w:pPr>
            <w:r>
              <w:rPr>
                <w:rFonts w:ascii="Arial" w:cs="Arial" w:eastAsia="Arial" w:hAnsi="Arial"/>
                <w:sz w:val="20"/>
                <w:szCs w:val="20"/>
                <w:color w:val="auto"/>
              </w:rPr>
              <w:t>company participating in the Sub-Plan; or</w:t>
            </w:r>
          </w:p>
        </w:tc>
        <w:tc>
          <w:tcPr>
            <w:tcW w:w="0" w:type="dxa"/>
            <w:vAlign w:val="bottom"/>
          </w:tcPr>
          <w:p>
            <w:pPr>
              <w:spacing w:after="0"/>
              <w:rPr>
                <w:sz w:val="1"/>
                <w:szCs w:val="1"/>
                <w:color w:val="auto"/>
              </w:rPr>
            </w:pPr>
          </w:p>
        </w:tc>
      </w:tr>
      <w:tr>
        <w:trPr>
          <w:trHeight w:val="425"/>
        </w:trPr>
        <w:tc>
          <w:tcPr>
            <w:tcW w:w="2860" w:type="dxa"/>
            <w:vAlign w:val="bottom"/>
          </w:tcPr>
          <w:p>
            <w:pPr>
              <w:spacing w:after="0"/>
              <w:rPr>
                <w:sz w:val="24"/>
                <w:szCs w:val="24"/>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9"/>
                <w:szCs w:val="19"/>
                <w:color w:val="auto"/>
              </w:rPr>
              <w:t>a director of Price Group or a company participating in the</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600" w:type="dxa"/>
            <w:vAlign w:val="bottom"/>
          </w:tcPr>
          <w:p>
            <w:pPr>
              <w:ind w:left="1260"/>
              <w:spacing w:after="0" w:line="216" w:lineRule="exact"/>
              <w:rPr>
                <w:sz w:val="20"/>
                <w:szCs w:val="20"/>
                <w:color w:val="auto"/>
              </w:rPr>
            </w:pPr>
            <w:r>
              <w:rPr>
                <w:rFonts w:ascii="Arial" w:cs="Arial" w:eastAsia="Arial" w:hAnsi="Arial"/>
                <w:sz w:val="20"/>
                <w:szCs w:val="20"/>
                <w:color w:val="auto"/>
              </w:rPr>
              <w:t>Sub-Plan who is contracted to work at least 25 hours per</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600" w:type="dxa"/>
            <w:vAlign w:val="bottom"/>
          </w:tcPr>
          <w:p>
            <w:pPr>
              <w:ind w:left="1260"/>
              <w:spacing w:after="0" w:line="216" w:lineRule="exact"/>
              <w:rPr>
                <w:sz w:val="20"/>
                <w:szCs w:val="20"/>
                <w:color w:val="auto"/>
              </w:rPr>
            </w:pPr>
            <w:r>
              <w:rPr>
                <w:rFonts w:ascii="Arial" w:cs="Arial" w:eastAsia="Arial" w:hAnsi="Arial"/>
                <w:sz w:val="20"/>
                <w:szCs w:val="20"/>
                <w:color w:val="auto"/>
              </w:rPr>
              <w:t>week for Price Group and its subsidiaries or any of them</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1260"/>
              <w:spacing w:after="0"/>
              <w:rPr>
                <w:sz w:val="20"/>
                <w:szCs w:val="20"/>
                <w:color w:val="auto"/>
              </w:rPr>
            </w:pPr>
            <w:r>
              <w:rPr>
                <w:rFonts w:ascii="Arial" w:cs="Arial" w:eastAsia="Arial" w:hAnsi="Arial"/>
                <w:sz w:val="20"/>
                <w:szCs w:val="20"/>
                <w:color w:val="auto"/>
              </w:rPr>
              <w:t>(exclusive of meal breaks)</w:t>
            </w:r>
          </w:p>
        </w:tc>
        <w:tc>
          <w:tcPr>
            <w:tcW w:w="0" w:type="dxa"/>
            <w:vAlign w:val="bottom"/>
          </w:tcPr>
          <w:p>
            <w:pPr>
              <w:spacing w:after="0"/>
              <w:rPr>
                <w:sz w:val="1"/>
                <w:szCs w:val="1"/>
                <w:color w:val="auto"/>
              </w:rPr>
            </w:pPr>
          </w:p>
        </w:tc>
      </w:tr>
      <w:tr>
        <w:trPr>
          <w:trHeight w:val="411"/>
        </w:trPr>
        <w:tc>
          <w:tcPr>
            <w:tcW w:w="2860" w:type="dxa"/>
            <w:vAlign w:val="bottom"/>
          </w:tcPr>
          <w:p>
            <w:pPr>
              <w:spacing w:after="0"/>
              <w:rPr>
                <w:sz w:val="24"/>
                <w:szCs w:val="24"/>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w w:val="99"/>
              </w:rPr>
              <w:t>and who, in either case, does not have at the Date of Grant of an</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600" w:type="dxa"/>
            <w:vAlign w:val="bottom"/>
          </w:tcPr>
          <w:p>
            <w:pPr>
              <w:ind w:left="860"/>
              <w:spacing w:after="0" w:line="216" w:lineRule="exact"/>
              <w:rPr>
                <w:sz w:val="20"/>
                <w:szCs w:val="20"/>
                <w:color w:val="auto"/>
              </w:rPr>
            </w:pPr>
            <w:r>
              <w:rPr>
                <w:rFonts w:ascii="Arial" w:cs="Arial" w:eastAsia="Arial" w:hAnsi="Arial"/>
                <w:sz w:val="20"/>
                <w:szCs w:val="20"/>
                <w:color w:val="auto"/>
              </w:rPr>
              <w:t>Option, and has not had during the preceding twelve months, a</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600" w:type="dxa"/>
            <w:vAlign w:val="bottom"/>
          </w:tcPr>
          <w:p>
            <w:pPr>
              <w:ind w:left="860"/>
              <w:spacing w:after="0" w:line="216" w:lineRule="exact"/>
              <w:rPr>
                <w:sz w:val="20"/>
                <w:szCs w:val="20"/>
                <w:color w:val="auto"/>
              </w:rPr>
            </w:pPr>
            <w:r>
              <w:rPr>
                <w:rFonts w:ascii="Arial" w:cs="Arial" w:eastAsia="Arial" w:hAnsi="Arial"/>
                <w:sz w:val="20"/>
                <w:szCs w:val="20"/>
                <w:color w:val="auto"/>
              </w:rPr>
              <w:t>Material Interest in a Close Company which is Price Group or a</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600" w:type="dxa"/>
            <w:vAlign w:val="bottom"/>
          </w:tcPr>
          <w:p>
            <w:pPr>
              <w:ind w:left="860"/>
              <w:spacing w:after="0" w:line="216" w:lineRule="exact"/>
              <w:rPr>
                <w:sz w:val="20"/>
                <w:szCs w:val="20"/>
                <w:color w:val="auto"/>
              </w:rPr>
            </w:pPr>
            <w:r>
              <w:rPr>
                <w:rFonts w:ascii="Arial" w:cs="Arial" w:eastAsia="Arial" w:hAnsi="Arial"/>
                <w:sz w:val="20"/>
                <w:szCs w:val="20"/>
                <w:color w:val="auto"/>
              </w:rPr>
              <w:t>company which has Control of Price Group or a member of a</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rPr>
              <w:t>Consortium which owns Price Group;</w:t>
            </w:r>
          </w:p>
        </w:tc>
        <w:tc>
          <w:tcPr>
            <w:tcW w:w="0" w:type="dxa"/>
            <w:vAlign w:val="bottom"/>
          </w:tcPr>
          <w:p>
            <w:pPr>
              <w:spacing w:after="0"/>
              <w:rPr>
                <w:sz w:val="1"/>
                <w:szCs w:val="1"/>
                <w:color w:val="auto"/>
              </w:rPr>
            </w:pPr>
          </w:p>
        </w:tc>
      </w:tr>
      <w:tr>
        <w:trPr>
          <w:trHeight w:val="465"/>
        </w:trPr>
        <w:tc>
          <w:tcPr>
            <w:tcW w:w="2860" w:type="dxa"/>
            <w:vAlign w:val="bottom"/>
            <w:vMerge w:val="restart"/>
          </w:tcPr>
          <w:p>
            <w:pPr>
              <w:spacing w:after="0"/>
              <w:rPr>
                <w:sz w:val="20"/>
                <w:szCs w:val="20"/>
                <w:color w:val="auto"/>
              </w:rPr>
            </w:pPr>
            <w:r>
              <w:rPr>
                <w:rFonts w:ascii="Arial" w:cs="Arial" w:eastAsia="Arial" w:hAnsi="Arial"/>
                <w:sz w:val="20"/>
                <w:szCs w:val="20"/>
                <w:b w:val="1"/>
                <w:bCs w:val="1"/>
                <w:color w:val="auto"/>
              </w:rPr>
              <w:t>Expiration Date</w:t>
            </w:r>
          </w:p>
        </w:tc>
        <w:tc>
          <w:tcPr>
            <w:tcW w:w="6600" w:type="dxa"/>
            <w:vAlign w:val="bottom"/>
          </w:tcPr>
          <w:p>
            <w:pPr>
              <w:ind w:left="860"/>
              <w:spacing w:after="0"/>
              <w:rPr>
                <w:sz w:val="20"/>
                <w:szCs w:val="20"/>
                <w:color w:val="auto"/>
              </w:rPr>
            </w:pPr>
            <w:r>
              <w:rPr>
                <w:rFonts w:ascii="Arial" w:cs="Arial" w:eastAsia="Arial" w:hAnsi="Arial"/>
                <w:sz w:val="20"/>
                <w:szCs w:val="20"/>
                <w:color w:val="auto"/>
              </w:rPr>
              <w:t>means  the  date  on  which  an  Option  expires  if  not  sooner</w:t>
            </w:r>
          </w:p>
        </w:tc>
        <w:tc>
          <w:tcPr>
            <w:tcW w:w="0" w:type="dxa"/>
            <w:vAlign w:val="bottom"/>
          </w:tcPr>
          <w:p>
            <w:pPr>
              <w:spacing w:after="0"/>
              <w:rPr>
                <w:sz w:val="1"/>
                <w:szCs w:val="1"/>
                <w:color w:val="auto"/>
              </w:rPr>
            </w:pPr>
          </w:p>
        </w:tc>
      </w:tr>
      <w:tr>
        <w:trPr>
          <w:trHeight w:val="237"/>
        </w:trPr>
        <w:tc>
          <w:tcPr>
            <w:tcW w:w="2860" w:type="dxa"/>
            <w:vAlign w:val="bottom"/>
            <w:vMerge w:val="continue"/>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20"/>
                <w:szCs w:val="20"/>
                <w:color w:val="auto"/>
              </w:rPr>
              <w:t>exercised, forfeited or otherwise terminated;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00"/>
          </w:cols>
          <w:pgMar w:left="240" w:top="379" w:right="359" w:bottom="1440" w:gutter="0" w:footer="0" w:header="0"/>
        </w:sectPr>
      </w:pPr>
    </w:p>
    <w:bookmarkStart w:id="25" w:name="page26"/>
    <w:bookmarkEnd w:id="25"/>
    <w:tbl>
      <w:tblPr>
        <w:tblLayout w:type="fixed"/>
        <w:tblInd w:w="760" w:type="dxa"/>
        <w:tblCellMar>
          <w:top w:w="0" w:type="dxa"/>
          <w:left w:w="0" w:type="dxa"/>
          <w:bottom w:w="0" w:type="dxa"/>
          <w:right w:w="0" w:type="dxa"/>
        </w:tblCellMar>
      </w:tblPr>
      <w:tr>
        <w:trPr>
          <w:trHeight w:val="261"/>
        </w:trPr>
        <w:tc>
          <w:tcPr>
            <w:tcW w:w="2420" w:type="dxa"/>
            <w:vAlign w:val="bottom"/>
          </w:tcPr>
          <w:p>
            <w:pPr>
              <w:spacing w:after="0"/>
              <w:rPr>
                <w:sz w:val="20"/>
                <w:szCs w:val="20"/>
                <w:color w:val="auto"/>
              </w:rPr>
            </w:pPr>
            <w:r>
              <w:rPr>
                <w:rFonts w:ascii="Arial" w:cs="Arial" w:eastAsia="Arial" w:hAnsi="Arial"/>
                <w:sz w:val="20"/>
                <w:szCs w:val="20"/>
                <w:b w:val="1"/>
                <w:bCs w:val="1"/>
                <w:color w:val="auto"/>
              </w:rPr>
              <w:t>Grantee</w:t>
            </w:r>
          </w:p>
        </w:tc>
        <w:tc>
          <w:tcPr>
            <w:tcW w:w="7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2420" w:type="dxa"/>
            <w:vAlign w:val="bottom"/>
          </w:tcPr>
          <w:p>
            <w:pPr>
              <w:spacing w:after="0"/>
              <w:rPr>
                <w:sz w:val="24"/>
                <w:szCs w:val="24"/>
                <w:color w:val="auto"/>
              </w:rPr>
            </w:pPr>
          </w:p>
        </w:tc>
        <w:tc>
          <w:tcPr>
            <w:tcW w:w="7040" w:type="dxa"/>
            <w:vAlign w:val="bottom"/>
          </w:tcPr>
          <w:p>
            <w:pPr>
              <w:ind w:left="1300"/>
              <w:spacing w:after="0"/>
              <w:rPr>
                <w:sz w:val="20"/>
                <w:szCs w:val="20"/>
                <w:color w:val="auto"/>
              </w:rPr>
            </w:pPr>
            <w:r>
              <w:rPr>
                <w:rFonts w:ascii="Arial" w:cs="Arial" w:eastAsia="Arial" w:hAnsi="Arial"/>
                <w:sz w:val="20"/>
                <w:szCs w:val="20"/>
                <w:color w:val="auto"/>
              </w:rPr>
              <w:t>An individual who holds an Option, or where the context permits,</w:t>
            </w:r>
          </w:p>
        </w:tc>
        <w:tc>
          <w:tcPr>
            <w:tcW w:w="0" w:type="dxa"/>
            <w:vAlign w:val="bottom"/>
          </w:tcPr>
          <w:p>
            <w:pPr>
              <w:spacing w:after="0"/>
              <w:rPr>
                <w:sz w:val="1"/>
                <w:szCs w:val="1"/>
                <w:color w:val="auto"/>
              </w:rPr>
            </w:pPr>
          </w:p>
        </w:tc>
      </w:tr>
      <w:tr>
        <w:trPr>
          <w:trHeight w:val="237"/>
        </w:trPr>
        <w:tc>
          <w:tcPr>
            <w:tcW w:w="2420" w:type="dxa"/>
            <w:vAlign w:val="bottom"/>
            <w:vMerge w:val="restart"/>
          </w:tcPr>
          <w:p>
            <w:pPr>
              <w:spacing w:after="0"/>
              <w:rPr>
                <w:sz w:val="20"/>
                <w:szCs w:val="20"/>
                <w:color w:val="auto"/>
              </w:rPr>
            </w:pPr>
            <w:r>
              <w:rPr>
                <w:rFonts w:ascii="Arial" w:cs="Arial" w:eastAsia="Arial" w:hAnsi="Arial"/>
                <w:sz w:val="20"/>
                <w:szCs w:val="20"/>
                <w:b w:val="1"/>
                <w:bCs w:val="1"/>
                <w:color w:val="auto"/>
              </w:rPr>
              <w:t>ITA 2007</w:t>
            </w:r>
          </w:p>
        </w:tc>
        <w:tc>
          <w:tcPr>
            <w:tcW w:w="7040" w:type="dxa"/>
            <w:vAlign w:val="bottom"/>
          </w:tcPr>
          <w:p>
            <w:pPr>
              <w:ind w:left="1300"/>
              <w:spacing w:after="0"/>
              <w:rPr>
                <w:sz w:val="20"/>
                <w:szCs w:val="20"/>
                <w:color w:val="auto"/>
              </w:rPr>
            </w:pPr>
            <w:r>
              <w:rPr>
                <w:rFonts w:ascii="Arial" w:cs="Arial" w:eastAsia="Arial" w:hAnsi="Arial"/>
                <w:sz w:val="20"/>
                <w:szCs w:val="20"/>
                <w:color w:val="auto"/>
              </w:rPr>
              <w:t>his legal personal representatives;</w:t>
            </w: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7040" w:type="dxa"/>
            <w:vAlign w:val="bottom"/>
            <w:vMerge w:val="restart"/>
          </w:tcPr>
          <w:p>
            <w:pPr>
              <w:ind w:left="1300"/>
              <w:spacing w:after="0"/>
              <w:rPr>
                <w:sz w:val="20"/>
                <w:szCs w:val="20"/>
                <w:color w:val="auto"/>
              </w:rPr>
            </w:pPr>
            <w:r>
              <w:rPr>
                <w:rFonts w:ascii="Arial" w:cs="Arial" w:eastAsia="Arial" w:hAnsi="Arial"/>
                <w:sz w:val="20"/>
                <w:szCs w:val="20"/>
                <w:color w:val="auto"/>
              </w:rPr>
              <w:t>The Income Tax Act 2007;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0"/>
                <w:szCs w:val="20"/>
                <w:color w:val="auto"/>
              </w:rPr>
            </w:pPr>
            <w:r>
              <w:rPr>
                <w:rFonts w:ascii="Arial" w:cs="Arial" w:eastAsia="Arial" w:hAnsi="Arial"/>
                <w:sz w:val="20"/>
                <w:szCs w:val="20"/>
                <w:b w:val="1"/>
                <w:bCs w:val="1"/>
                <w:color w:val="auto"/>
              </w:rPr>
              <w:t>ITEPA 2003</w:t>
            </w:r>
          </w:p>
        </w:tc>
        <w:tc>
          <w:tcPr>
            <w:tcW w:w="7040" w:type="dxa"/>
            <w:vAlign w:val="bottom"/>
          </w:tcPr>
          <w:p>
            <w:pPr>
              <w:ind w:left="1300"/>
              <w:spacing w:after="0"/>
              <w:rPr>
                <w:sz w:val="20"/>
                <w:szCs w:val="20"/>
                <w:color w:val="auto"/>
              </w:rPr>
            </w:pPr>
            <w:r>
              <w:rPr>
                <w:rFonts w:ascii="Arial" w:cs="Arial" w:eastAsia="Arial" w:hAnsi="Arial"/>
                <w:sz w:val="20"/>
                <w:szCs w:val="20"/>
                <w:color w:val="auto"/>
              </w:rPr>
              <w:t>The Income Tax (Earnings and Pensions Act 2003);</w:t>
            </w:r>
          </w:p>
        </w:tc>
        <w:tc>
          <w:tcPr>
            <w:tcW w:w="0" w:type="dxa"/>
            <w:vAlign w:val="bottom"/>
          </w:tcPr>
          <w:p>
            <w:pPr>
              <w:spacing w:after="0"/>
              <w:rPr>
                <w:sz w:val="1"/>
                <w:szCs w:val="1"/>
                <w:color w:val="auto"/>
              </w:rPr>
            </w:pPr>
          </w:p>
        </w:tc>
      </w:tr>
      <w:tr>
        <w:trPr>
          <w:trHeight w:val="465"/>
        </w:trPr>
        <w:tc>
          <w:tcPr>
            <w:tcW w:w="2420" w:type="dxa"/>
            <w:vAlign w:val="bottom"/>
          </w:tcPr>
          <w:p>
            <w:pPr>
              <w:spacing w:after="0"/>
              <w:rPr>
                <w:sz w:val="20"/>
                <w:szCs w:val="20"/>
                <w:color w:val="auto"/>
              </w:rPr>
            </w:pPr>
            <w:r>
              <w:rPr>
                <w:rFonts w:ascii="Arial" w:cs="Arial" w:eastAsia="Arial" w:hAnsi="Arial"/>
                <w:sz w:val="20"/>
                <w:szCs w:val="20"/>
                <w:b w:val="1"/>
                <w:bCs w:val="1"/>
                <w:color w:val="auto"/>
              </w:rPr>
              <w:t>Key Feature</w:t>
            </w:r>
          </w:p>
        </w:tc>
        <w:tc>
          <w:tcPr>
            <w:tcW w:w="7040" w:type="dxa"/>
            <w:vAlign w:val="bottom"/>
          </w:tcPr>
          <w:p>
            <w:pPr>
              <w:ind w:left="1280"/>
              <w:spacing w:after="0"/>
              <w:rPr>
                <w:sz w:val="20"/>
                <w:szCs w:val="20"/>
                <w:color w:val="auto"/>
              </w:rPr>
            </w:pPr>
            <w:r>
              <w:rPr>
                <w:rFonts w:ascii="Arial" w:cs="Arial" w:eastAsia="Arial" w:hAnsi="Arial"/>
                <w:sz w:val="20"/>
                <w:szCs w:val="20"/>
                <w:color w:val="auto"/>
              </w:rPr>
              <w:t>means a provision of the Plan or the Sub-Plan which is</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7040" w:type="dxa"/>
            <w:vAlign w:val="bottom"/>
          </w:tcPr>
          <w:p>
            <w:pPr>
              <w:ind w:left="1320"/>
              <w:spacing w:after="0"/>
              <w:rPr>
                <w:sz w:val="20"/>
                <w:szCs w:val="20"/>
                <w:color w:val="auto"/>
              </w:rPr>
            </w:pPr>
            <w:r>
              <w:rPr>
                <w:rFonts w:ascii="Arial" w:cs="Arial" w:eastAsia="Arial" w:hAnsi="Arial"/>
                <w:sz w:val="20"/>
                <w:szCs w:val="20"/>
                <w:color w:val="auto"/>
              </w:rPr>
              <w:t>necessary in order to meet the requirements of Schedule 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0"/>
          </w:cols>
          <w:pgMar w:left="240" w:top="517" w:right="1439" w:bottom="1440" w:gutter="0" w:footer="0" w:header="0"/>
        </w:sectPr>
      </w:pPr>
    </w:p>
    <w:bookmarkStart w:id="26" w:name="page27"/>
    <w:bookmarkEnd w:id="26"/>
    <w:tbl>
      <w:tblPr>
        <w:tblLayout w:type="fixed"/>
        <w:tblInd w:w="760" w:type="dxa"/>
        <w:tblCellMar>
          <w:top w:w="0" w:type="dxa"/>
          <w:left w:w="0" w:type="dxa"/>
          <w:bottom w:w="0" w:type="dxa"/>
          <w:right w:w="0" w:type="dxa"/>
        </w:tblCellMar>
      </w:tblPr>
      <w:tr>
        <w:trPr>
          <w:trHeight w:val="237"/>
        </w:trPr>
        <w:tc>
          <w:tcPr>
            <w:tcW w:w="2620" w:type="dxa"/>
            <w:vAlign w:val="bottom"/>
          </w:tcPr>
          <w:p>
            <w:pPr>
              <w:spacing w:after="0"/>
              <w:rPr>
                <w:sz w:val="20"/>
                <w:szCs w:val="20"/>
                <w:color w:val="auto"/>
              </w:rPr>
            </w:pPr>
          </w:p>
        </w:tc>
        <w:tc>
          <w:tcPr>
            <w:tcW w:w="6840" w:type="dxa"/>
            <w:vAlign w:val="bottom"/>
          </w:tcPr>
          <w:p>
            <w:pPr>
              <w:ind w:left="1080"/>
              <w:spacing w:after="0"/>
              <w:rPr>
                <w:sz w:val="20"/>
                <w:szCs w:val="20"/>
                <w:color w:val="auto"/>
              </w:rPr>
            </w:pPr>
            <w:r>
              <w:rPr>
                <w:rFonts w:ascii="Arial" w:cs="Arial" w:eastAsia="Arial" w:hAnsi="Arial"/>
                <w:sz w:val="20"/>
                <w:szCs w:val="20"/>
                <w:color w:val="auto"/>
              </w:rPr>
              <w:t>notwithstanding Section 17(p) of the Plan</w:t>
            </w:r>
          </w:p>
        </w:tc>
        <w:tc>
          <w:tcPr>
            <w:tcW w:w="0" w:type="dxa"/>
            <w:vAlign w:val="bottom"/>
          </w:tcPr>
          <w:p>
            <w:pPr>
              <w:spacing w:after="0"/>
              <w:rPr>
                <w:sz w:val="1"/>
                <w:szCs w:val="1"/>
                <w:color w:val="auto"/>
              </w:rPr>
            </w:pPr>
          </w:p>
        </w:tc>
      </w:tr>
      <w:tr>
        <w:trPr>
          <w:trHeight w:val="432"/>
        </w:trPr>
        <w:tc>
          <w:tcPr>
            <w:tcW w:w="2620" w:type="dxa"/>
            <w:vAlign w:val="bottom"/>
          </w:tcPr>
          <w:p>
            <w:pPr>
              <w:spacing w:after="0"/>
              <w:rPr>
                <w:sz w:val="24"/>
                <w:szCs w:val="24"/>
                <w:color w:val="auto"/>
              </w:rPr>
            </w:pPr>
          </w:p>
        </w:tc>
        <w:tc>
          <w:tcPr>
            <w:tcW w:w="6840" w:type="dxa"/>
            <w:vAlign w:val="bottom"/>
          </w:tcPr>
          <w:p>
            <w:pPr>
              <w:ind w:left="1080"/>
              <w:spacing w:after="0"/>
              <w:rPr>
                <w:sz w:val="20"/>
                <w:szCs w:val="20"/>
                <w:color w:val="auto"/>
              </w:rPr>
            </w:pPr>
            <w:r>
              <w:rPr>
                <w:rFonts w:ascii="Arial" w:cs="Arial" w:eastAsia="Arial" w:hAnsi="Arial"/>
                <w:sz w:val="20"/>
                <w:szCs w:val="20"/>
                <w:color w:val="auto"/>
              </w:rPr>
              <w:t>(a) in the case of an Option granted under the Sub Plan:</w:t>
            </w:r>
          </w:p>
        </w:tc>
        <w:tc>
          <w:tcPr>
            <w:tcW w:w="0" w:type="dxa"/>
            <w:vAlign w:val="bottom"/>
          </w:tcPr>
          <w:p>
            <w:pPr>
              <w:spacing w:after="0"/>
              <w:rPr>
                <w:sz w:val="1"/>
                <w:szCs w:val="1"/>
                <w:color w:val="auto"/>
              </w:rPr>
            </w:pPr>
          </w:p>
        </w:tc>
      </w:tr>
      <w:tr>
        <w:trPr>
          <w:trHeight w:val="425"/>
        </w:trPr>
        <w:tc>
          <w:tcPr>
            <w:tcW w:w="262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9"/>
                <w:szCs w:val="19"/>
                <w:color w:val="auto"/>
              </w:rPr>
              <w:t>if at the relevant time the Shares are listed on the NASDAQ</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Stock  Market  the  NASDAQ  Official  Closing  Price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(NOCP) for the Date of Grant of the Option, or if no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reported price for that day, the preceding day for which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there was a reported price. In the event Shares are no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longer listed on the NASDAQ Stock Market, but instead</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are listed on another stock exchange registered with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Securities  and  Exchange  Commission  of  the  United</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States as a national securities exchange under Section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6 of the Exchange Act 1934, and such exchange is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Recognised Stock Exchange, the comparable last or</w:t>
            </w: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6840" w:type="dxa"/>
            <w:vAlign w:val="bottom"/>
          </w:tcPr>
          <w:p>
            <w:pPr>
              <w:ind w:left="1880"/>
              <w:spacing w:after="0"/>
              <w:rPr>
                <w:sz w:val="20"/>
                <w:szCs w:val="20"/>
                <w:color w:val="auto"/>
              </w:rPr>
            </w:pPr>
            <w:r>
              <w:rPr>
                <w:rFonts w:ascii="Arial" w:cs="Arial" w:eastAsia="Arial" w:hAnsi="Arial"/>
                <w:sz w:val="20"/>
                <w:szCs w:val="20"/>
                <w:color w:val="auto"/>
              </w:rPr>
              <w:t>closing selling price on that exchange);</w:t>
            </w:r>
          </w:p>
        </w:tc>
        <w:tc>
          <w:tcPr>
            <w:tcW w:w="0" w:type="dxa"/>
            <w:vAlign w:val="bottom"/>
          </w:tcPr>
          <w:p>
            <w:pPr>
              <w:spacing w:after="0"/>
              <w:rPr>
                <w:sz w:val="1"/>
                <w:szCs w:val="1"/>
                <w:color w:val="auto"/>
              </w:rPr>
            </w:pPr>
          </w:p>
        </w:tc>
      </w:tr>
      <w:tr>
        <w:trPr>
          <w:trHeight w:val="425"/>
        </w:trPr>
        <w:tc>
          <w:tcPr>
            <w:tcW w:w="262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9"/>
                <w:szCs w:val="19"/>
                <w:color w:val="auto"/>
              </w:rPr>
              <w:t>if paragraph (i) does not apply, the market value of a Share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as  determined  in  accordance  with  Part  VIII  of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Taxation of Chargeable Gains Act 1992 and agreed in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advance with HM Revenue and Customs Shares and</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Assets Valuation on the Date of Grant of the Option 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such earlier date or dates as may be agreed with HM</w:t>
            </w: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6840" w:type="dxa"/>
            <w:vAlign w:val="bottom"/>
          </w:tcPr>
          <w:p>
            <w:pPr>
              <w:ind w:left="1880"/>
              <w:spacing w:after="0"/>
              <w:rPr>
                <w:sz w:val="20"/>
                <w:szCs w:val="20"/>
                <w:color w:val="auto"/>
              </w:rPr>
            </w:pPr>
            <w:r>
              <w:rPr>
                <w:rFonts w:ascii="Arial" w:cs="Arial" w:eastAsia="Arial" w:hAnsi="Arial"/>
                <w:sz w:val="20"/>
                <w:szCs w:val="20"/>
                <w:color w:val="auto"/>
              </w:rPr>
              <w:t>Revenue and Customs;</w:t>
            </w:r>
          </w:p>
        </w:tc>
        <w:tc>
          <w:tcPr>
            <w:tcW w:w="0" w:type="dxa"/>
            <w:vAlign w:val="bottom"/>
          </w:tcPr>
          <w:p>
            <w:pPr>
              <w:spacing w:after="0"/>
              <w:rPr>
                <w:sz w:val="1"/>
                <w:szCs w:val="1"/>
                <w:color w:val="auto"/>
              </w:rPr>
            </w:pPr>
          </w:p>
        </w:tc>
      </w:tr>
      <w:tr>
        <w:trPr>
          <w:trHeight w:val="411"/>
        </w:trPr>
        <w:tc>
          <w:tcPr>
            <w:tcW w:w="262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20"/>
                <w:szCs w:val="20"/>
                <w:color w:val="auto"/>
              </w:rPr>
              <w:t>((b) in the case of an option granted under any other share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option scheme, the market value of an ordinary share in the</w:t>
            </w:r>
          </w:p>
        </w:tc>
        <w:tc>
          <w:tcPr>
            <w:tcW w:w="0" w:type="dxa"/>
            <w:vAlign w:val="bottom"/>
          </w:tcPr>
          <w:p>
            <w:pPr>
              <w:spacing w:after="0"/>
              <w:rPr>
                <w:sz w:val="1"/>
                <w:szCs w:val="1"/>
                <w:color w:val="auto"/>
              </w:rPr>
            </w:pPr>
          </w:p>
        </w:tc>
      </w:tr>
      <w:tr>
        <w:trPr>
          <w:trHeight w:val="216"/>
        </w:trPr>
        <w:tc>
          <w:tcPr>
            <w:tcW w:w="2620" w:type="dxa"/>
            <w:vAlign w:val="bottom"/>
            <w:vMerge w:val="restart"/>
          </w:tcPr>
          <w:p>
            <w:pPr>
              <w:spacing w:after="0"/>
              <w:rPr>
                <w:sz w:val="20"/>
                <w:szCs w:val="20"/>
                <w:color w:val="auto"/>
              </w:rPr>
            </w:pPr>
            <w:r>
              <w:rPr>
                <w:rFonts w:ascii="Arial" w:cs="Arial" w:eastAsia="Arial" w:hAnsi="Arial"/>
                <w:sz w:val="20"/>
                <w:szCs w:val="20"/>
                <w:b w:val="1"/>
                <w:bCs w:val="1"/>
                <w:color w:val="auto"/>
              </w:rPr>
              <w:t>Market Value</w:t>
            </w: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capital of Price Group determined under the rules of such</w:t>
            </w:r>
          </w:p>
        </w:tc>
        <w:tc>
          <w:tcPr>
            <w:tcW w:w="0" w:type="dxa"/>
            <w:vAlign w:val="bottom"/>
          </w:tcPr>
          <w:p>
            <w:pPr>
              <w:spacing w:after="0"/>
              <w:rPr>
                <w:sz w:val="1"/>
                <w:szCs w:val="1"/>
                <w:color w:val="auto"/>
              </w:rPr>
            </w:pPr>
          </w:p>
        </w:tc>
      </w:tr>
      <w:tr>
        <w:trPr>
          <w:trHeight w:val="237"/>
        </w:trPr>
        <w:tc>
          <w:tcPr>
            <w:tcW w:w="2620" w:type="dxa"/>
            <w:vAlign w:val="bottom"/>
            <w:vMerge w:val="continue"/>
          </w:tcPr>
          <w:p>
            <w:pPr>
              <w:spacing w:after="0"/>
              <w:rPr>
                <w:sz w:val="20"/>
                <w:szCs w:val="20"/>
                <w:color w:val="auto"/>
              </w:rPr>
            </w:pPr>
          </w:p>
        </w:tc>
        <w:tc>
          <w:tcPr>
            <w:tcW w:w="6840" w:type="dxa"/>
            <w:vAlign w:val="bottom"/>
          </w:tcPr>
          <w:p>
            <w:pPr>
              <w:jc w:val="right"/>
              <w:ind w:right="802"/>
              <w:spacing w:after="0"/>
              <w:rPr>
                <w:sz w:val="20"/>
                <w:szCs w:val="20"/>
                <w:color w:val="auto"/>
              </w:rPr>
            </w:pPr>
            <w:r>
              <w:rPr>
                <w:rFonts w:ascii="Arial" w:cs="Arial" w:eastAsia="Arial" w:hAnsi="Arial"/>
                <w:sz w:val="20"/>
                <w:szCs w:val="20"/>
                <w:color w:val="auto"/>
              </w:rPr>
              <w:t>scheme for the purpose of the grant of the option;</w:t>
            </w:r>
          </w:p>
        </w:tc>
        <w:tc>
          <w:tcPr>
            <w:tcW w:w="0" w:type="dxa"/>
            <w:vAlign w:val="bottom"/>
          </w:tcPr>
          <w:p>
            <w:pPr>
              <w:spacing w:after="0"/>
              <w:rPr>
                <w:sz w:val="1"/>
                <w:szCs w:val="1"/>
                <w:color w:val="auto"/>
              </w:rPr>
            </w:pPr>
          </w:p>
        </w:tc>
      </w:tr>
      <w:tr>
        <w:trPr>
          <w:trHeight w:val="465"/>
        </w:trPr>
        <w:tc>
          <w:tcPr>
            <w:tcW w:w="2620" w:type="dxa"/>
            <w:vAlign w:val="bottom"/>
          </w:tcPr>
          <w:p>
            <w:pPr>
              <w:spacing w:after="0"/>
              <w:rPr>
                <w:sz w:val="20"/>
                <w:szCs w:val="20"/>
                <w:color w:val="auto"/>
              </w:rPr>
            </w:pPr>
            <w:r>
              <w:rPr>
                <w:rFonts w:ascii="Arial" w:cs="Arial" w:eastAsia="Arial" w:hAnsi="Arial"/>
                <w:sz w:val="20"/>
                <w:szCs w:val="20"/>
                <w:b w:val="1"/>
                <w:bCs w:val="1"/>
                <w:color w:val="auto"/>
              </w:rPr>
              <w:t>Material Interest</w:t>
            </w:r>
          </w:p>
        </w:tc>
        <w:tc>
          <w:tcPr>
            <w:tcW w:w="6840" w:type="dxa"/>
            <w:vAlign w:val="bottom"/>
          </w:tcPr>
          <w:p>
            <w:pPr>
              <w:jc w:val="right"/>
              <w:spacing w:after="0"/>
              <w:rPr>
                <w:sz w:val="20"/>
                <w:szCs w:val="20"/>
                <w:color w:val="auto"/>
              </w:rPr>
            </w:pPr>
            <w:r>
              <w:rPr>
                <w:rFonts w:ascii="Arial" w:cs="Arial" w:eastAsia="Arial" w:hAnsi="Arial"/>
                <w:sz w:val="20"/>
                <w:szCs w:val="20"/>
                <w:color w:val="auto"/>
              </w:rPr>
              <w:t>The meaning given to that expression by paragraphs 9 to 14 of</w:t>
            </w: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6840" w:type="dxa"/>
            <w:vAlign w:val="bottom"/>
          </w:tcPr>
          <w:p>
            <w:pPr>
              <w:ind w:left="1100"/>
              <w:spacing w:after="0"/>
              <w:rPr>
                <w:sz w:val="20"/>
                <w:szCs w:val="20"/>
                <w:color w:val="auto"/>
              </w:rPr>
            </w:pPr>
            <w:r>
              <w:rPr>
                <w:rFonts w:ascii="Arial" w:cs="Arial" w:eastAsia="Arial" w:hAnsi="Arial"/>
                <w:sz w:val="20"/>
                <w:szCs w:val="20"/>
                <w:color w:val="auto"/>
              </w:rPr>
              <w:t>Schedule 4;</w:t>
            </w: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0"/>
                <w:szCs w:val="20"/>
                <w:color w:val="auto"/>
              </w:rPr>
            </w:pPr>
            <w:r>
              <w:rPr>
                <w:rFonts w:ascii="Arial" w:cs="Arial" w:eastAsia="Arial" w:hAnsi="Arial"/>
                <w:sz w:val="20"/>
                <w:szCs w:val="20"/>
                <w:b w:val="1"/>
                <w:bCs w:val="1"/>
                <w:color w:val="auto"/>
              </w:rPr>
              <w:t>New Option</w:t>
            </w:r>
          </w:p>
        </w:tc>
        <w:tc>
          <w:tcPr>
            <w:tcW w:w="6840" w:type="dxa"/>
            <w:vAlign w:val="bottom"/>
          </w:tcPr>
          <w:p>
            <w:pPr>
              <w:ind w:left="1100"/>
              <w:spacing w:after="0"/>
              <w:rPr>
                <w:sz w:val="20"/>
                <w:szCs w:val="20"/>
                <w:color w:val="auto"/>
              </w:rPr>
            </w:pPr>
            <w:r>
              <w:rPr>
                <w:rFonts w:ascii="Arial" w:cs="Arial" w:eastAsia="Arial" w:hAnsi="Arial"/>
                <w:sz w:val="20"/>
                <w:szCs w:val="20"/>
                <w:color w:val="auto"/>
              </w:rPr>
              <w:t>an option granted by way of exchange under rule 26.1;</w:t>
            </w: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0"/>
                <w:szCs w:val="20"/>
                <w:color w:val="auto"/>
              </w:rPr>
            </w:pPr>
            <w:r>
              <w:rPr>
                <w:rFonts w:ascii="Arial" w:cs="Arial" w:eastAsia="Arial" w:hAnsi="Arial"/>
                <w:sz w:val="20"/>
                <w:szCs w:val="20"/>
                <w:b w:val="1"/>
                <w:bCs w:val="1"/>
                <w:color w:val="auto"/>
              </w:rPr>
              <w:t>New Shares</w:t>
            </w:r>
          </w:p>
        </w:tc>
        <w:tc>
          <w:tcPr>
            <w:tcW w:w="6840" w:type="dxa"/>
            <w:vAlign w:val="bottom"/>
          </w:tcPr>
          <w:p>
            <w:pPr>
              <w:ind w:left="1100"/>
              <w:spacing w:after="0"/>
              <w:rPr>
                <w:sz w:val="20"/>
                <w:szCs w:val="20"/>
                <w:color w:val="auto"/>
              </w:rPr>
            </w:pPr>
            <w:r>
              <w:rPr>
                <w:rFonts w:ascii="Arial" w:cs="Arial" w:eastAsia="Arial" w:hAnsi="Arial"/>
                <w:sz w:val="20"/>
                <w:szCs w:val="20"/>
                <w:color w:val="auto"/>
              </w:rPr>
              <w:t>the shares subject to a New Option referred to in rule 26.1;</w:t>
            </w:r>
          </w:p>
        </w:tc>
        <w:tc>
          <w:tcPr>
            <w:tcW w:w="0" w:type="dxa"/>
            <w:vAlign w:val="bottom"/>
          </w:tcPr>
          <w:p>
            <w:pPr>
              <w:spacing w:after="0"/>
              <w:rPr>
                <w:sz w:val="1"/>
                <w:szCs w:val="1"/>
                <w:color w:val="auto"/>
              </w:rPr>
            </w:pPr>
          </w:p>
        </w:tc>
      </w:tr>
      <w:tr>
        <w:trPr>
          <w:trHeight w:val="465"/>
        </w:trPr>
        <w:tc>
          <w:tcPr>
            <w:tcW w:w="262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20"/>
                <w:szCs w:val="20"/>
                <w:color w:val="auto"/>
              </w:rPr>
              <w:t>means  the  Notice  of  Grant  of  Stock  Option  Award  which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840" w:type="dxa"/>
            <w:vAlign w:val="bottom"/>
          </w:tcPr>
          <w:p>
            <w:pPr>
              <w:jc w:val="right"/>
              <w:spacing w:after="0" w:line="216" w:lineRule="exact"/>
              <w:rPr>
                <w:sz w:val="20"/>
                <w:szCs w:val="20"/>
                <w:color w:val="auto"/>
              </w:rPr>
            </w:pPr>
            <w:r>
              <w:rPr>
                <w:rFonts w:ascii="Arial" w:cs="Arial" w:eastAsia="Arial" w:hAnsi="Arial"/>
                <w:sz w:val="20"/>
                <w:szCs w:val="20"/>
                <w:color w:val="auto"/>
              </w:rPr>
              <w:t>correlates with the Terms and sets forth the specifics of the</w:t>
            </w:r>
          </w:p>
        </w:tc>
        <w:tc>
          <w:tcPr>
            <w:tcW w:w="0" w:type="dxa"/>
            <w:vAlign w:val="bottom"/>
          </w:tcPr>
          <w:p>
            <w:pPr>
              <w:spacing w:after="0"/>
              <w:rPr>
                <w:sz w:val="1"/>
                <w:szCs w:val="1"/>
                <w:color w:val="auto"/>
              </w:rPr>
            </w:pPr>
          </w:p>
        </w:tc>
      </w:tr>
      <w:tr>
        <w:trPr>
          <w:trHeight w:val="237"/>
        </w:trPr>
        <w:tc>
          <w:tcPr>
            <w:tcW w:w="2620" w:type="dxa"/>
            <w:vAlign w:val="bottom"/>
            <w:vMerge w:val="restart"/>
          </w:tcPr>
          <w:p>
            <w:pPr>
              <w:spacing w:after="0"/>
              <w:rPr>
                <w:sz w:val="20"/>
                <w:szCs w:val="20"/>
                <w:color w:val="auto"/>
              </w:rPr>
            </w:pPr>
            <w:r>
              <w:rPr>
                <w:rFonts w:ascii="Arial" w:cs="Arial" w:eastAsia="Arial" w:hAnsi="Arial"/>
                <w:sz w:val="20"/>
                <w:szCs w:val="20"/>
                <w:b w:val="1"/>
                <w:bCs w:val="1"/>
                <w:color w:val="auto"/>
              </w:rPr>
              <w:t>Notice</w:t>
            </w:r>
          </w:p>
        </w:tc>
        <w:tc>
          <w:tcPr>
            <w:tcW w:w="6840" w:type="dxa"/>
            <w:vAlign w:val="bottom"/>
          </w:tcPr>
          <w:p>
            <w:pPr>
              <w:ind w:left="1100"/>
              <w:spacing w:after="0"/>
              <w:rPr>
                <w:sz w:val="20"/>
                <w:szCs w:val="20"/>
                <w:color w:val="auto"/>
              </w:rPr>
            </w:pPr>
            <w:r>
              <w:rPr>
                <w:rFonts w:ascii="Arial" w:cs="Arial" w:eastAsia="Arial" w:hAnsi="Arial"/>
                <w:sz w:val="20"/>
                <w:szCs w:val="20"/>
                <w:color w:val="auto"/>
              </w:rPr>
              <w:t>applicable award of Options;</w:t>
            </w:r>
          </w:p>
        </w:tc>
        <w:tc>
          <w:tcPr>
            <w:tcW w:w="0" w:type="dxa"/>
            <w:vAlign w:val="bottom"/>
          </w:tcPr>
          <w:p>
            <w:pPr>
              <w:spacing w:after="0"/>
              <w:rPr>
                <w:sz w:val="1"/>
                <w:szCs w:val="1"/>
                <w:color w:val="auto"/>
              </w:rPr>
            </w:pPr>
          </w:p>
        </w:tc>
      </w:tr>
      <w:tr>
        <w:trPr>
          <w:trHeight w:val="203"/>
        </w:trPr>
        <w:tc>
          <w:tcPr>
            <w:tcW w:w="2620" w:type="dxa"/>
            <w:vAlign w:val="bottom"/>
            <w:vMerge w:val="continue"/>
          </w:tcPr>
          <w:p>
            <w:pPr>
              <w:spacing w:after="0"/>
              <w:rPr>
                <w:sz w:val="17"/>
                <w:szCs w:val="17"/>
                <w:color w:val="auto"/>
              </w:rPr>
            </w:pPr>
          </w:p>
        </w:tc>
        <w:tc>
          <w:tcPr>
            <w:tcW w:w="6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-27305</wp:posOffset>
            </wp:positionV>
            <wp:extent cx="34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20"/>
          </w:cols>
          <w:pgMar w:left="240" w:top="541" w:right="1439" w:bottom="1440" w:gutter="0" w:footer="0" w:header="0"/>
        </w:sectPr>
      </w:pPr>
    </w:p>
    <w:bookmarkStart w:id="27" w:name="page28"/>
    <w:bookmarkEnd w:id="27"/>
    <w:tbl>
      <w:tblPr>
        <w:tblLayout w:type="fixed"/>
        <w:tblInd w:w="760" w:type="dxa"/>
        <w:tblCellMar>
          <w:top w:w="0" w:type="dxa"/>
          <w:left w:w="0" w:type="dxa"/>
          <w:bottom w:w="0" w:type="dxa"/>
          <w:right w:w="0" w:type="dxa"/>
        </w:tblCellMar>
      </w:tblPr>
      <w:tr>
        <w:trPr>
          <w:trHeight w:val="261"/>
        </w:trPr>
        <w:tc>
          <w:tcPr>
            <w:tcW w:w="3220" w:type="dxa"/>
            <w:vAlign w:val="bottom"/>
          </w:tcPr>
          <w:p>
            <w:pPr>
              <w:spacing w:after="0"/>
              <w:rPr>
                <w:sz w:val="20"/>
                <w:szCs w:val="20"/>
                <w:color w:val="auto"/>
              </w:rPr>
            </w:pPr>
            <w:r>
              <w:rPr>
                <w:rFonts w:ascii="Arial" w:cs="Arial" w:eastAsia="Arial" w:hAnsi="Arial"/>
                <w:sz w:val="20"/>
                <w:szCs w:val="20"/>
                <w:b w:val="1"/>
                <w:bCs w:val="1"/>
                <w:color w:val="auto"/>
              </w:rPr>
              <w:t>Option</w:t>
            </w:r>
          </w:p>
        </w:tc>
        <w:tc>
          <w:tcPr>
            <w:tcW w:w="6240" w:type="dxa"/>
            <w:vAlign w:val="bottom"/>
          </w:tcPr>
          <w:p>
            <w:pPr>
              <w:ind w:left="500"/>
              <w:spacing w:after="0"/>
              <w:rPr>
                <w:sz w:val="20"/>
                <w:szCs w:val="20"/>
                <w:color w:val="auto"/>
              </w:rPr>
            </w:pPr>
            <w:r>
              <w:rPr>
                <w:rFonts w:ascii="Arial" w:cs="Arial" w:eastAsia="Arial" w:hAnsi="Arial"/>
                <w:sz w:val="20"/>
                <w:szCs w:val="20"/>
                <w:color w:val="auto"/>
              </w:rPr>
              <w:t>a subsisting right to acquire Shares granted under the Sub-Plan;</w:t>
            </w:r>
          </w:p>
        </w:tc>
        <w:tc>
          <w:tcPr>
            <w:tcW w:w="0" w:type="dxa"/>
            <w:vAlign w:val="bottom"/>
          </w:tcPr>
          <w:p>
            <w:pPr>
              <w:spacing w:after="0"/>
              <w:rPr>
                <w:sz w:val="1"/>
                <w:szCs w:val="1"/>
                <w:color w:val="auto"/>
              </w:rPr>
            </w:pPr>
          </w:p>
        </w:tc>
      </w:tr>
      <w:tr>
        <w:trPr>
          <w:trHeight w:val="486"/>
        </w:trPr>
        <w:tc>
          <w:tcPr>
            <w:tcW w:w="3220" w:type="dxa"/>
            <w:vAlign w:val="bottom"/>
          </w:tcPr>
          <w:p>
            <w:pPr>
              <w:spacing w:after="0"/>
              <w:rPr>
                <w:sz w:val="20"/>
                <w:szCs w:val="20"/>
                <w:color w:val="auto"/>
              </w:rPr>
            </w:pPr>
            <w:r>
              <w:rPr>
                <w:rFonts w:ascii="Arial" w:cs="Arial" w:eastAsia="Arial" w:hAnsi="Arial"/>
                <w:sz w:val="20"/>
                <w:szCs w:val="20"/>
                <w:b w:val="1"/>
                <w:bCs w:val="1"/>
                <w:color w:val="auto"/>
              </w:rPr>
              <w:t>Ordinary Share Capital</w:t>
            </w:r>
          </w:p>
        </w:tc>
        <w:tc>
          <w:tcPr>
            <w:tcW w:w="6240" w:type="dxa"/>
            <w:vAlign w:val="bottom"/>
          </w:tcPr>
          <w:p>
            <w:pPr>
              <w:ind w:left="500"/>
              <w:spacing w:after="0"/>
              <w:rPr>
                <w:sz w:val="20"/>
                <w:szCs w:val="20"/>
                <w:color w:val="auto"/>
              </w:rPr>
            </w:pPr>
            <w:r>
              <w:rPr>
                <w:rFonts w:ascii="Arial" w:cs="Arial" w:eastAsia="Arial" w:hAnsi="Arial"/>
                <w:sz w:val="20"/>
                <w:szCs w:val="20"/>
                <w:color w:val="auto"/>
                <w:w w:val="99"/>
              </w:rPr>
              <w:t>the meaning given to that expression by section 989 of ITA 2007;</w:t>
            </w:r>
          </w:p>
        </w:tc>
        <w:tc>
          <w:tcPr>
            <w:tcW w:w="0" w:type="dxa"/>
            <w:vAlign w:val="bottom"/>
          </w:tcPr>
          <w:p>
            <w:pPr>
              <w:spacing w:after="0"/>
              <w:rPr>
                <w:sz w:val="1"/>
                <w:szCs w:val="1"/>
                <w:color w:val="auto"/>
              </w:rPr>
            </w:pPr>
          </w:p>
        </w:tc>
      </w:tr>
      <w:tr>
        <w:trPr>
          <w:trHeight w:val="465"/>
        </w:trPr>
        <w:tc>
          <w:tcPr>
            <w:tcW w:w="3220" w:type="dxa"/>
            <w:vAlign w:val="bottom"/>
            <w:vMerge w:val="restart"/>
          </w:tcPr>
          <w:p>
            <w:pPr>
              <w:spacing w:after="0"/>
              <w:rPr>
                <w:sz w:val="20"/>
                <w:szCs w:val="20"/>
                <w:color w:val="auto"/>
              </w:rPr>
            </w:pPr>
            <w:r>
              <w:rPr>
                <w:rFonts w:ascii="Arial" w:cs="Arial" w:eastAsia="Arial" w:hAnsi="Arial"/>
                <w:sz w:val="20"/>
                <w:szCs w:val="20"/>
                <w:b w:val="1"/>
                <w:bCs w:val="1"/>
                <w:color w:val="auto"/>
              </w:rPr>
              <w:t>Recognised Stock Exchange</w:t>
            </w:r>
          </w:p>
        </w:tc>
        <w:tc>
          <w:tcPr>
            <w:tcW w:w="6240" w:type="dxa"/>
            <w:vAlign w:val="bottom"/>
          </w:tcPr>
          <w:p>
            <w:pPr>
              <w:ind w:left="500"/>
              <w:spacing w:after="0"/>
              <w:rPr>
                <w:sz w:val="20"/>
                <w:szCs w:val="20"/>
                <w:color w:val="auto"/>
              </w:rPr>
            </w:pPr>
            <w:r>
              <w:rPr>
                <w:rFonts w:ascii="Arial" w:cs="Arial" w:eastAsia="Arial" w:hAnsi="Arial"/>
                <w:sz w:val="20"/>
                <w:szCs w:val="20"/>
                <w:color w:val="auto"/>
              </w:rPr>
              <w:t>the meaning given to that expression by section 1005 of ITA</w:t>
            </w:r>
          </w:p>
        </w:tc>
        <w:tc>
          <w:tcPr>
            <w:tcW w:w="0" w:type="dxa"/>
            <w:vAlign w:val="bottom"/>
          </w:tcPr>
          <w:p>
            <w:pPr>
              <w:spacing w:after="0"/>
              <w:rPr>
                <w:sz w:val="1"/>
                <w:szCs w:val="1"/>
                <w:color w:val="auto"/>
              </w:rPr>
            </w:pPr>
          </w:p>
        </w:tc>
      </w:tr>
      <w:tr>
        <w:trPr>
          <w:trHeight w:val="237"/>
        </w:trPr>
        <w:tc>
          <w:tcPr>
            <w:tcW w:w="3220" w:type="dxa"/>
            <w:vAlign w:val="bottom"/>
            <w:vMerge w:val="continue"/>
          </w:tcPr>
          <w:p>
            <w:pPr>
              <w:spacing w:after="0"/>
              <w:rPr>
                <w:sz w:val="20"/>
                <w:szCs w:val="20"/>
                <w:color w:val="auto"/>
              </w:rPr>
            </w:pPr>
          </w:p>
        </w:tc>
        <w:tc>
          <w:tcPr>
            <w:tcW w:w="6240" w:type="dxa"/>
            <w:vAlign w:val="bottom"/>
          </w:tcPr>
          <w:p>
            <w:pPr>
              <w:ind w:left="500"/>
              <w:spacing w:after="0"/>
              <w:rPr>
                <w:sz w:val="20"/>
                <w:szCs w:val="20"/>
                <w:color w:val="auto"/>
              </w:rPr>
            </w:pPr>
            <w:r>
              <w:rPr>
                <w:rFonts w:ascii="Arial" w:cs="Arial" w:eastAsia="Arial" w:hAnsi="Arial"/>
                <w:sz w:val="20"/>
                <w:szCs w:val="20"/>
                <w:color w:val="auto"/>
              </w:rPr>
              <w:t>2007;</w:t>
            </w:r>
          </w:p>
        </w:tc>
        <w:tc>
          <w:tcPr>
            <w:tcW w:w="0" w:type="dxa"/>
            <w:vAlign w:val="bottom"/>
          </w:tcPr>
          <w:p>
            <w:pPr>
              <w:spacing w:after="0"/>
              <w:rPr>
                <w:sz w:val="1"/>
                <w:szCs w:val="1"/>
                <w:color w:val="auto"/>
              </w:rPr>
            </w:pPr>
          </w:p>
        </w:tc>
      </w:tr>
      <w:tr>
        <w:trPr>
          <w:trHeight w:val="486"/>
        </w:trPr>
        <w:tc>
          <w:tcPr>
            <w:tcW w:w="3220" w:type="dxa"/>
            <w:vAlign w:val="bottom"/>
          </w:tcPr>
          <w:p>
            <w:pPr>
              <w:spacing w:after="0"/>
              <w:rPr>
                <w:sz w:val="20"/>
                <w:szCs w:val="20"/>
                <w:color w:val="auto"/>
              </w:rPr>
            </w:pPr>
            <w:r>
              <w:rPr>
                <w:rFonts w:ascii="Arial" w:cs="Arial" w:eastAsia="Arial" w:hAnsi="Arial"/>
                <w:sz w:val="20"/>
                <w:szCs w:val="20"/>
                <w:b w:val="1"/>
                <w:bCs w:val="1"/>
                <w:color w:val="auto"/>
              </w:rPr>
              <w:t>Schedule</w:t>
            </w:r>
          </w:p>
        </w:tc>
        <w:tc>
          <w:tcPr>
            <w:tcW w:w="6240" w:type="dxa"/>
            <w:vAlign w:val="bottom"/>
          </w:tcPr>
          <w:p>
            <w:pPr>
              <w:ind w:left="500"/>
              <w:spacing w:after="0"/>
              <w:rPr>
                <w:sz w:val="20"/>
                <w:szCs w:val="20"/>
                <w:color w:val="auto"/>
              </w:rPr>
            </w:pPr>
            <w:r>
              <w:rPr>
                <w:rFonts w:ascii="Arial" w:cs="Arial" w:eastAsia="Arial" w:hAnsi="Arial"/>
                <w:sz w:val="20"/>
                <w:szCs w:val="20"/>
                <w:color w:val="auto"/>
              </w:rPr>
              <w:t>means the provisions as set out in this Sub-Plan;</w:t>
            </w:r>
          </w:p>
        </w:tc>
        <w:tc>
          <w:tcPr>
            <w:tcW w:w="0" w:type="dxa"/>
            <w:vAlign w:val="bottom"/>
          </w:tcPr>
          <w:p>
            <w:pPr>
              <w:spacing w:after="0"/>
              <w:rPr>
                <w:sz w:val="1"/>
                <w:szCs w:val="1"/>
                <w:color w:val="auto"/>
              </w:rPr>
            </w:pPr>
          </w:p>
        </w:tc>
      </w:tr>
      <w:tr>
        <w:trPr>
          <w:trHeight w:val="486"/>
        </w:trPr>
        <w:tc>
          <w:tcPr>
            <w:tcW w:w="3220" w:type="dxa"/>
            <w:vAlign w:val="bottom"/>
          </w:tcPr>
          <w:p>
            <w:pPr>
              <w:spacing w:after="0"/>
              <w:rPr>
                <w:sz w:val="20"/>
                <w:szCs w:val="20"/>
                <w:color w:val="auto"/>
              </w:rPr>
            </w:pPr>
            <w:r>
              <w:rPr>
                <w:rFonts w:ascii="Arial" w:cs="Arial" w:eastAsia="Arial" w:hAnsi="Arial"/>
                <w:sz w:val="20"/>
                <w:szCs w:val="20"/>
                <w:b w:val="1"/>
                <w:bCs w:val="1"/>
                <w:color w:val="auto"/>
              </w:rPr>
              <w:t>Schedule 4</w:t>
            </w:r>
          </w:p>
        </w:tc>
        <w:tc>
          <w:tcPr>
            <w:tcW w:w="6240" w:type="dxa"/>
            <w:vAlign w:val="bottom"/>
          </w:tcPr>
          <w:p>
            <w:pPr>
              <w:ind w:left="500"/>
              <w:spacing w:after="0"/>
              <w:rPr>
                <w:sz w:val="20"/>
                <w:szCs w:val="20"/>
                <w:color w:val="auto"/>
              </w:rPr>
            </w:pPr>
            <w:r>
              <w:rPr>
                <w:rFonts w:ascii="Arial" w:cs="Arial" w:eastAsia="Arial" w:hAnsi="Arial"/>
                <w:sz w:val="20"/>
                <w:szCs w:val="20"/>
                <w:color w:val="auto"/>
              </w:rPr>
              <w:t>means Schedule 4 to ITEPA 2003;</w:t>
            </w:r>
          </w:p>
        </w:tc>
        <w:tc>
          <w:tcPr>
            <w:tcW w:w="0" w:type="dxa"/>
            <w:vAlign w:val="bottom"/>
          </w:tcPr>
          <w:p>
            <w:pPr>
              <w:spacing w:after="0"/>
              <w:rPr>
                <w:sz w:val="1"/>
                <w:szCs w:val="1"/>
                <w:color w:val="auto"/>
              </w:rPr>
            </w:pPr>
          </w:p>
        </w:tc>
      </w:tr>
      <w:tr>
        <w:trPr>
          <w:trHeight w:val="681"/>
        </w:trPr>
        <w:tc>
          <w:tcPr>
            <w:tcW w:w="3220" w:type="dxa"/>
            <w:vAlign w:val="bottom"/>
            <w:vMerge w:val="restart"/>
          </w:tcPr>
          <w:p>
            <w:pPr>
              <w:spacing w:after="0"/>
              <w:rPr>
                <w:sz w:val="20"/>
                <w:szCs w:val="20"/>
                <w:color w:val="auto"/>
              </w:rPr>
            </w:pPr>
            <w:r>
              <w:rPr>
                <w:rFonts w:ascii="Arial" w:cs="Arial" w:eastAsia="Arial" w:hAnsi="Arial"/>
                <w:sz w:val="20"/>
                <w:szCs w:val="20"/>
                <w:b w:val="1"/>
                <w:bCs w:val="1"/>
                <w:color w:val="auto"/>
              </w:rPr>
              <w:t>Shares</w:t>
            </w:r>
          </w:p>
        </w:tc>
        <w:tc>
          <w:tcPr>
            <w:tcW w:w="6240" w:type="dxa"/>
            <w:vAlign w:val="bottom"/>
          </w:tcPr>
          <w:p>
            <w:pPr>
              <w:ind w:left="500"/>
              <w:spacing w:after="0"/>
              <w:rPr>
                <w:sz w:val="20"/>
                <w:szCs w:val="20"/>
                <w:color w:val="auto"/>
              </w:rPr>
            </w:pPr>
            <w:r>
              <w:rPr>
                <w:rFonts w:ascii="Arial" w:cs="Arial" w:eastAsia="Arial" w:hAnsi="Arial"/>
                <w:sz w:val="20"/>
                <w:szCs w:val="20"/>
                <w:color w:val="auto"/>
              </w:rPr>
              <w:t>ordinary shares of Common Stock of Price Group, par value</w:t>
            </w:r>
          </w:p>
        </w:tc>
        <w:tc>
          <w:tcPr>
            <w:tcW w:w="0" w:type="dxa"/>
            <w:vAlign w:val="bottom"/>
          </w:tcPr>
          <w:p>
            <w:pPr>
              <w:spacing w:after="0"/>
              <w:rPr>
                <w:sz w:val="1"/>
                <w:szCs w:val="1"/>
                <w:color w:val="auto"/>
              </w:rPr>
            </w:pPr>
          </w:p>
        </w:tc>
      </w:tr>
      <w:tr>
        <w:trPr>
          <w:trHeight w:val="237"/>
        </w:trPr>
        <w:tc>
          <w:tcPr>
            <w:tcW w:w="3220" w:type="dxa"/>
            <w:vAlign w:val="bottom"/>
            <w:vMerge w:val="continue"/>
          </w:tcPr>
          <w:p>
            <w:pPr>
              <w:spacing w:after="0"/>
              <w:rPr>
                <w:sz w:val="20"/>
                <w:szCs w:val="20"/>
                <w:color w:val="auto"/>
              </w:rPr>
            </w:pPr>
          </w:p>
        </w:tc>
        <w:tc>
          <w:tcPr>
            <w:tcW w:w="6240" w:type="dxa"/>
            <w:vAlign w:val="bottom"/>
          </w:tcPr>
          <w:p>
            <w:pPr>
              <w:ind w:left="500"/>
              <w:spacing w:after="0"/>
              <w:rPr>
                <w:sz w:val="20"/>
                <w:szCs w:val="20"/>
                <w:color w:val="auto"/>
              </w:rPr>
            </w:pPr>
            <w:r>
              <w:rPr>
                <w:rFonts w:ascii="Arial" w:cs="Arial" w:eastAsia="Arial" w:hAnsi="Arial"/>
                <w:sz w:val="20"/>
                <w:szCs w:val="20"/>
                <w:color w:val="auto"/>
              </w:rPr>
              <w:t>twenty cents ($0.20) per share.</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this Schedule, unless the context otherwise requires:</w:t>
      </w:r>
    </w:p>
    <w:p>
      <w:pPr>
        <w:spacing w:after="0" w:line="229" w:lineRule="exact"/>
        <w:rPr>
          <w:sz w:val="20"/>
          <w:szCs w:val="20"/>
          <w:color w:val="auto"/>
        </w:rPr>
      </w:pPr>
    </w:p>
    <w:p>
      <w:pPr>
        <w:ind w:left="980" w:hanging="324"/>
        <w:spacing w:after="0"/>
        <w:tabs>
          <w:tab w:leader="none" w:pos="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words and expressions not defined above have the same meanings as are given to them in the Plan;</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rule headings are inserted for ease of reference only and do not affect their interpretation;</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a reference to a rule is a reference to a rule in this Schedule;</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singular includes the plural and vice-versa and the masculine includes the feminine; and</w:t>
      </w:r>
    </w:p>
    <w:p>
      <w:pPr>
        <w:spacing w:after="0" w:line="229" w:lineRule="exact"/>
        <w:rPr>
          <w:rFonts w:ascii="Arial" w:cs="Arial" w:eastAsia="Arial" w:hAnsi="Arial"/>
          <w:sz w:val="20"/>
          <w:szCs w:val="20"/>
          <w:color w:val="auto"/>
        </w:rPr>
      </w:pPr>
    </w:p>
    <w:p>
      <w:pPr>
        <w:ind w:left="980" w:hanging="324"/>
        <w:spacing w:after="0" w:line="247" w:lineRule="auto"/>
        <w:tabs>
          <w:tab w:leader="none" w:pos="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a reference to a statutory provision is a reference to a United Kingdom statutory provision and includes any statutory modification, amendment or re-enactment thereof.</w:t>
      </w:r>
    </w:p>
    <w:p>
      <w:pPr>
        <w:spacing w:after="0" w:line="191" w:lineRule="exact"/>
        <w:rPr>
          <w:rFonts w:ascii="Arial" w:cs="Arial" w:eastAsia="Arial" w:hAnsi="Arial"/>
          <w:sz w:val="20"/>
          <w:szCs w:val="20"/>
          <w:color w:val="auto"/>
        </w:rPr>
      </w:pPr>
    </w:p>
    <w:p>
      <w:pPr>
        <w:ind w:left="660" w:hanging="652"/>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Companies participating in Sub-Plan</w:t>
      </w:r>
    </w:p>
    <w:p>
      <w:pPr>
        <w:spacing w:after="0" w:line="253" w:lineRule="exact"/>
        <w:rPr>
          <w:rFonts w:ascii="Arial" w:cs="Arial" w:eastAsia="Arial" w:hAnsi="Arial"/>
          <w:sz w:val="20"/>
          <w:szCs w:val="20"/>
          <w:color w:val="auto"/>
        </w:rPr>
      </w:pPr>
    </w:p>
    <w:p>
      <w:pPr>
        <w:ind w:left="660" w:right="20"/>
        <w:spacing w:after="0" w:line="247" w:lineRule="auto"/>
        <w:rPr>
          <w:rFonts w:ascii="Arial" w:cs="Arial" w:eastAsia="Arial" w:hAnsi="Arial"/>
          <w:sz w:val="20"/>
          <w:szCs w:val="20"/>
          <w:color w:val="auto"/>
        </w:rPr>
      </w:pPr>
      <w:r>
        <w:rPr>
          <w:rFonts w:ascii="Arial" w:cs="Arial" w:eastAsia="Arial" w:hAnsi="Arial"/>
          <w:sz w:val="20"/>
          <w:szCs w:val="20"/>
          <w:color w:val="auto"/>
        </w:rPr>
        <w:t>The companies participating in the Sub-Plan shall be Price Group and any company Controlled by Price Group which has been nominated by Price Group to participate in the Sub-Plan.</w:t>
      </w:r>
    </w:p>
    <w:p>
      <w:pPr>
        <w:spacing w:after="0" w:line="191" w:lineRule="exact"/>
        <w:rPr>
          <w:rFonts w:ascii="Arial" w:cs="Arial" w:eastAsia="Arial" w:hAnsi="Arial"/>
          <w:sz w:val="20"/>
          <w:szCs w:val="20"/>
          <w:color w:val="auto"/>
        </w:rPr>
      </w:pPr>
    </w:p>
    <w:p>
      <w:pPr>
        <w:ind w:left="660" w:hanging="652"/>
        <w:spacing w:after="0"/>
        <w:tabs>
          <w:tab w:leader="none" w:pos="6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Shares used in Sub-Plan</w:t>
      </w:r>
    </w:p>
    <w:p>
      <w:pPr>
        <w:spacing w:after="0" w:line="253" w:lineRule="exact"/>
        <w:rPr>
          <w:sz w:val="20"/>
          <w:szCs w:val="20"/>
          <w:color w:val="auto"/>
        </w:rPr>
      </w:pPr>
    </w:p>
    <w:p>
      <w:pPr>
        <w:ind w:left="620"/>
        <w:spacing w:after="0" w:line="247" w:lineRule="auto"/>
        <w:rPr>
          <w:sz w:val="20"/>
          <w:szCs w:val="20"/>
          <w:color w:val="auto"/>
        </w:rPr>
      </w:pPr>
      <w:r>
        <w:rPr>
          <w:rFonts w:ascii="Arial" w:cs="Arial" w:eastAsia="Arial" w:hAnsi="Arial"/>
          <w:sz w:val="20"/>
          <w:szCs w:val="20"/>
          <w:color w:val="auto"/>
        </w:rPr>
        <w:t>The Shares shall form part of the Ordinary Share Capital of Price Group and shall at all times comply with the requirements of paragraphs 16 to 20 of Schedule 4.</w:t>
      </w:r>
    </w:p>
    <w:p>
      <w:pPr>
        <w:spacing w:after="0" w:line="19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Grant of Options</w:t>
      </w:r>
    </w:p>
    <w:p>
      <w:pPr>
        <w:spacing w:after="0" w:line="253" w:lineRule="exact"/>
        <w:rPr>
          <w:sz w:val="20"/>
          <w:szCs w:val="20"/>
          <w:color w:val="auto"/>
        </w:rPr>
      </w:pPr>
    </w:p>
    <w:p>
      <w:pPr>
        <w:ind w:left="660" w:right="580" w:hanging="647"/>
        <w:spacing w:after="0" w:line="247" w:lineRule="auto"/>
        <w:tabs>
          <w:tab w:leader="none" w:pos="640" w:val="left"/>
        </w:tabs>
        <w:rPr>
          <w:sz w:val="20"/>
          <w:szCs w:val="20"/>
          <w:color w:val="auto"/>
        </w:rPr>
      </w:pPr>
      <w:r>
        <w:rPr>
          <w:rFonts w:ascii="Arial" w:cs="Arial" w:eastAsia="Arial" w:hAnsi="Arial"/>
          <w:sz w:val="20"/>
          <w:szCs w:val="20"/>
          <w:color w:val="auto"/>
        </w:rPr>
        <w:t>10.1</w:t>
        <w:tab/>
        <w:t>An Option granted under the Sub-Plan shall be granted under and subject to the rules of the Plan as modified by this Schedule, and the Terms.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17" w:right="239" w:bottom="1440" w:gutter="0" w:footer="0" w:header="0"/>
        </w:sectPr>
      </w:pPr>
    </w:p>
    <w:bookmarkStart w:id="28" w:name="page29"/>
    <w:bookmarkEnd w:id="28"/>
    <w:p>
      <w:pPr>
        <w:spacing w:after="0"/>
        <w:tabs>
          <w:tab w:leader="none" w:pos="5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color w:val="auto"/>
        </w:rPr>
        <w:t>The last sentence in Section 7 (a) of the Plan shall not apply to Options.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Section 7(b) of the Plan shall not apply to Options</w:t>
      </w:r>
    </w:p>
    <w:p>
      <w:pPr>
        <w:spacing w:after="0" w:line="205" w:lineRule="exact"/>
        <w:rPr>
          <w:sz w:val="20"/>
          <w:szCs w:val="20"/>
          <w:color w:val="auto"/>
        </w:rPr>
      </w:pPr>
    </w:p>
    <w:p>
      <w:pPr>
        <w:ind w:left="720" w:hanging="712"/>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Identification of Options</w:t>
      </w:r>
    </w:p>
    <w:p>
      <w:pPr>
        <w:spacing w:after="0" w:line="253" w:lineRule="exact"/>
        <w:rPr>
          <w:sz w:val="20"/>
          <w:szCs w:val="20"/>
          <w:color w:val="auto"/>
        </w:rPr>
      </w:pPr>
    </w:p>
    <w:p>
      <w:pPr>
        <w:ind w:left="620" w:right="20" w:firstLine="378"/>
        <w:spacing w:after="0" w:line="247" w:lineRule="auto"/>
        <w:rPr>
          <w:sz w:val="20"/>
          <w:szCs w:val="20"/>
          <w:color w:val="auto"/>
        </w:rPr>
      </w:pPr>
      <w:r>
        <w:rPr>
          <w:rFonts w:ascii="Arial" w:cs="Arial" w:eastAsia="Arial" w:hAnsi="Arial"/>
          <w:sz w:val="20"/>
          <w:szCs w:val="20"/>
          <w:color w:val="auto"/>
        </w:rPr>
        <w:t>A Notice issued in respect of an Option shall expressly state that it is issued in respect of an Option. An option which is not so identified shall not constitute an Option.</w:t>
      </w:r>
    </w:p>
    <w:p>
      <w:pPr>
        <w:spacing w:after="0" w:line="19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Contents of Notice</w:t>
      </w:r>
    </w:p>
    <w:p>
      <w:pPr>
        <w:spacing w:after="0" w:line="2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9"/>
          <w:szCs w:val="19"/>
          <w:color w:val="auto"/>
        </w:rPr>
        <w:t>A Notice will be issued in respect of an Option and shall state:</w:t>
      </w:r>
    </w:p>
    <w:p>
      <w:pPr>
        <w:spacing w:after="0" w:line="22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it is issued in respect of an Option granted under the Sub-Plan;</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Date of Grant of the Option;</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number of Shares subject to the Option;</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exercise price per Share under the Option;</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performance target or other condition imposed on the exercise of the Option;</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date(s) on which the Option will ordinarily become exercisable;</w:t>
      </w:r>
    </w:p>
    <w:p>
      <w:pPr>
        <w:spacing w:after="0" w:line="205" w:lineRule="exact"/>
        <w:rPr>
          <w:rFonts w:ascii="Arial" w:cs="Arial" w:eastAsia="Arial" w:hAnsi="Arial"/>
          <w:sz w:val="20"/>
          <w:szCs w:val="20"/>
          <w:color w:val="auto"/>
        </w:rPr>
      </w:pPr>
    </w:p>
    <w:p>
      <w:pPr>
        <w:ind w:left="980" w:right="80" w:hanging="324"/>
        <w:spacing w:after="0" w:line="272"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date on which the Option expires (the “</w:t>
      </w:r>
      <w:r>
        <w:rPr>
          <w:rFonts w:ascii="Arial" w:cs="Arial" w:eastAsia="Arial" w:hAnsi="Arial"/>
          <w:sz w:val="20"/>
          <w:szCs w:val="20"/>
          <w:b w:val="1"/>
          <w:bCs w:val="1"/>
          <w:color w:val="auto"/>
        </w:rPr>
        <w:t>Expiration Date</w:t>
      </w:r>
      <w:r>
        <w:rPr>
          <w:rFonts w:ascii="Arial" w:cs="Arial" w:eastAsia="Arial" w:hAnsi="Arial"/>
          <w:sz w:val="20"/>
          <w:szCs w:val="20"/>
          <w:color w:val="auto"/>
        </w:rPr>
        <w:t>”) if not sooner exercised, forfeited or otherwise terminated; and</w:t>
      </w:r>
    </w:p>
    <w:p>
      <w:pPr>
        <w:spacing w:after="0" w:line="191" w:lineRule="exact"/>
        <w:rPr>
          <w:rFonts w:ascii="Arial" w:cs="Arial" w:eastAsia="Arial" w:hAnsi="Arial"/>
          <w:sz w:val="20"/>
          <w:szCs w:val="20"/>
          <w:color w:val="auto"/>
        </w:rPr>
      </w:pPr>
    </w:p>
    <w:p>
      <w:pPr>
        <w:ind w:left="980" w:right="380" w:hanging="324"/>
        <w:spacing w:after="0" w:line="247"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Terms with which the Notice correlates that set forth the period during which an Option shall remain exercisable following termination of employment.</w:t>
      </w:r>
    </w:p>
    <w:p>
      <w:pPr>
        <w:spacing w:after="0" w:line="215" w:lineRule="exact"/>
        <w:rPr>
          <w:sz w:val="20"/>
          <w:szCs w:val="20"/>
          <w:color w:val="auto"/>
        </w:rPr>
      </w:pPr>
    </w:p>
    <w:p>
      <w:pPr>
        <w:ind w:left="660" w:right="500" w:hanging="647"/>
        <w:spacing w:after="0" w:line="247" w:lineRule="auto"/>
        <w:tabs>
          <w:tab w:leader="none" w:pos="640" w:val="left"/>
        </w:tabs>
        <w:rPr>
          <w:sz w:val="20"/>
          <w:szCs w:val="20"/>
          <w:color w:val="auto"/>
        </w:rPr>
      </w:pPr>
      <w:r>
        <w:rPr>
          <w:rFonts w:ascii="Arial" w:cs="Arial" w:eastAsia="Arial" w:hAnsi="Arial"/>
          <w:sz w:val="20"/>
          <w:szCs w:val="20"/>
          <w:color w:val="auto"/>
        </w:rPr>
        <w:t>12.2</w:t>
        <w:tab/>
        <w:t>Notwithstanding Section 4(b) (iv) (C) of the Plan, any terms relating to the withholding of taxes will be determined and implemented in accordance with rule 30 of the Sub-Plan.</w:t>
      </w:r>
    </w:p>
    <w:p>
      <w:pPr>
        <w:spacing w:after="0" w:line="191" w:lineRule="exact"/>
        <w:rPr>
          <w:sz w:val="20"/>
          <w:szCs w:val="20"/>
          <w:color w:val="auto"/>
        </w:rPr>
      </w:pPr>
    </w:p>
    <w:p>
      <w:pPr>
        <w:ind w:left="720" w:hanging="712"/>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Earliest date for grant of Options</w:t>
      </w:r>
    </w:p>
    <w:p>
      <w:pPr>
        <w:spacing w:after="0" w:line="25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An Option may not be granted earlier than the Approval Date.</w:t>
      </w:r>
    </w:p>
    <w:p>
      <w:pPr>
        <w:spacing w:after="0" w:line="205"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Persons to whom Options may be granted</w:t>
      </w:r>
    </w:p>
    <w:p>
      <w:pPr>
        <w:spacing w:after="0" w:line="253" w:lineRule="exact"/>
        <w:rPr>
          <w:sz w:val="20"/>
          <w:szCs w:val="20"/>
          <w:color w:val="auto"/>
        </w:rPr>
      </w:pPr>
    </w:p>
    <w:p>
      <w:pPr>
        <w:ind w:left="620"/>
        <w:spacing w:after="0" w:line="247" w:lineRule="auto"/>
        <w:rPr>
          <w:sz w:val="20"/>
          <w:szCs w:val="20"/>
          <w:color w:val="auto"/>
        </w:rPr>
      </w:pPr>
      <w:r>
        <w:rPr>
          <w:rFonts w:ascii="Arial" w:cs="Arial" w:eastAsia="Arial" w:hAnsi="Arial"/>
          <w:sz w:val="20"/>
          <w:szCs w:val="20"/>
          <w:color w:val="auto"/>
        </w:rPr>
        <w:t>Notwithstanding the provisions of Section 6 of the Plan, an Option may not be granted to an individual who is not an Eligible Individual at the Date of Grant.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09" w:right="239" w:bottom="1440" w:gutter="0" w:footer="0" w:header="0"/>
        </w:sectPr>
      </w:pPr>
    </w:p>
    <w:bookmarkStart w:id="29" w:name="page30"/>
    <w:bookmarkEnd w:id="29"/>
    <w:p>
      <w:pPr>
        <w:ind w:left="500" w:hanging="492"/>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Options non transferable</w:t>
      </w:r>
    </w:p>
    <w:p>
      <w:pPr>
        <w:spacing w:after="0" w:line="253"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15.1</w:t>
        <w:tab/>
        <w:t>An Option shall be personal to the Eligible Individual to whom it is granted and, subject to rule 26, shall not be capable of being transferred, charged or otherwise alienated and shall lapse immediately if the Grantee purports to transfer, charge or otherwise alienate the Option.</w:t>
      </w:r>
    </w:p>
    <w:p>
      <w:pPr>
        <w:spacing w:after="0" w:line="220" w:lineRule="exact"/>
        <w:rPr>
          <w:sz w:val="20"/>
          <w:szCs w:val="20"/>
          <w:color w:val="auto"/>
        </w:rPr>
      </w:pPr>
    </w:p>
    <w:p>
      <w:pPr>
        <w:jc w:val="both"/>
        <w:ind w:left="620" w:right="20" w:hanging="620"/>
        <w:spacing w:after="0" w:line="247" w:lineRule="auto"/>
        <w:tabs>
          <w:tab w:leader="none" w:pos="600" w:val="left"/>
        </w:tabs>
        <w:rPr>
          <w:sz w:val="20"/>
          <w:szCs w:val="20"/>
          <w:color w:val="auto"/>
        </w:rPr>
      </w:pPr>
      <w:r>
        <w:rPr>
          <w:rFonts w:ascii="Arial" w:cs="Arial" w:eastAsia="Arial" w:hAnsi="Arial"/>
          <w:sz w:val="20"/>
          <w:szCs w:val="20"/>
          <w:color w:val="auto"/>
        </w:rPr>
        <w:t>15.2</w:t>
        <w:tab/>
        <w:t>Reference in Section 9 of the Plan to transfers by a Grantee otherwise than by will or the laws of descent and distribution shall be disapplied for the purposes of the Sub-Plan.</w:t>
      </w:r>
    </w:p>
    <w:p>
      <w:pPr>
        <w:spacing w:after="0" w:line="19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Limit on number of Shares placed under Option under Sub-Plan</w:t>
      </w:r>
    </w:p>
    <w:p>
      <w:pPr>
        <w:spacing w:after="0" w:line="253" w:lineRule="exact"/>
        <w:rPr>
          <w:sz w:val="20"/>
          <w:szCs w:val="20"/>
          <w:color w:val="auto"/>
        </w:rPr>
      </w:pPr>
    </w:p>
    <w:p>
      <w:pPr>
        <w:ind w:left="620" w:firstLine="621"/>
        <w:spacing w:after="0" w:line="247" w:lineRule="auto"/>
        <w:rPr>
          <w:sz w:val="20"/>
          <w:szCs w:val="20"/>
          <w:color w:val="auto"/>
        </w:rPr>
      </w:pPr>
      <w:r>
        <w:rPr>
          <w:rFonts w:ascii="Arial" w:cs="Arial" w:eastAsia="Arial" w:hAnsi="Arial"/>
          <w:sz w:val="20"/>
          <w:szCs w:val="20"/>
          <w:color w:val="auto"/>
        </w:rPr>
        <w:t>For the avoidance of doubt, Shares placed under Option under the Sub-Plan shall be taken into account for the purpose of Section 5 of the Plan.</w:t>
      </w:r>
    </w:p>
    <w:p>
      <w:pPr>
        <w:spacing w:after="0" w:line="191"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HM Revenue and Customs limit (£30,000)</w:t>
      </w:r>
    </w:p>
    <w:p>
      <w:pPr>
        <w:spacing w:after="0" w:line="253" w:lineRule="exact"/>
        <w:rPr>
          <w:sz w:val="20"/>
          <w:szCs w:val="20"/>
          <w:color w:val="auto"/>
        </w:rPr>
      </w:pPr>
    </w:p>
    <w:p>
      <w:pPr>
        <w:jc w:val="both"/>
        <w:ind w:left="620"/>
        <w:spacing w:after="0" w:line="254" w:lineRule="auto"/>
        <w:rPr>
          <w:sz w:val="20"/>
          <w:szCs w:val="20"/>
          <w:color w:val="auto"/>
        </w:rPr>
      </w:pPr>
      <w:r>
        <w:rPr>
          <w:rFonts w:ascii="Arial" w:cs="Arial" w:eastAsia="Arial" w:hAnsi="Arial"/>
          <w:sz w:val="19"/>
          <w:szCs w:val="19"/>
          <w:color w:val="auto"/>
        </w:rPr>
        <w:t>An Option may not be granted under this Sub-Plan to an Eligible Individual if the result of granting the Option would be that the aggregate Market Value of the shares subject to all outstanding options granted to him under the Sub-Plan or any other share option scheme established by Price Group or an Associated Company and approved by HM Revenue and Customs under Schedule 4 (other than a savings related share option scheme) would exceed sterling £30,000 or such other limit as may from time to time be specified in paragraph 6 of Schedule 4. For this purpose, the United Kingdom sterling equivalent of the market value of a share on any day shall be determined by taking the spot sterling/US dollar exchange rate for that day as shown in the Wall Street Journal, the Financial Times or in any other internationally circulated and recognised broadsheet which records foreign exchange rates daily. If the grant of an Option would otherwise cause the limit in this rule 17 to be exceeded, the amount being granted in excess of the limit shall be treated as void.</w:t>
      </w:r>
    </w:p>
    <w:p>
      <w:pPr>
        <w:spacing w:after="0" w:line="191"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Exercise price under Options</w:t>
      </w:r>
    </w:p>
    <w:p>
      <w:pPr>
        <w:spacing w:after="0" w:line="253" w:lineRule="exact"/>
        <w:rPr>
          <w:sz w:val="20"/>
          <w:szCs w:val="20"/>
          <w:color w:val="auto"/>
        </w:rPr>
      </w:pPr>
    </w:p>
    <w:p>
      <w:pPr>
        <w:ind w:left="620"/>
        <w:spacing w:after="0" w:line="247" w:lineRule="auto"/>
        <w:rPr>
          <w:sz w:val="20"/>
          <w:szCs w:val="20"/>
          <w:color w:val="auto"/>
        </w:rPr>
      </w:pPr>
      <w:r>
        <w:rPr>
          <w:rFonts w:ascii="Arial" w:cs="Arial" w:eastAsia="Arial" w:hAnsi="Arial"/>
          <w:sz w:val="20"/>
          <w:szCs w:val="20"/>
          <w:color w:val="auto"/>
        </w:rPr>
        <w:t>The amount payable per Share on the exercise of an Option shall not be less than the Market Value of a Share on the Date of Grant and shall be stated on the Date of Grant.</w:t>
      </w:r>
    </w:p>
    <w:p>
      <w:pPr>
        <w:spacing w:after="0" w:line="191"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Performance goal or other condition imposed on exercise of Option</w:t>
      </w:r>
    </w:p>
    <w:p>
      <w:pPr>
        <w:spacing w:after="0" w:line="253" w:lineRule="exact"/>
        <w:rPr>
          <w:sz w:val="20"/>
          <w:szCs w:val="20"/>
          <w:color w:val="auto"/>
        </w:rPr>
      </w:pPr>
    </w:p>
    <w:p>
      <w:pPr>
        <w:ind w:left="620" w:firstLine="621"/>
        <w:spacing w:after="0" w:line="247" w:lineRule="auto"/>
        <w:rPr>
          <w:sz w:val="20"/>
          <w:szCs w:val="20"/>
          <w:color w:val="auto"/>
        </w:rPr>
      </w:pPr>
      <w:r>
        <w:rPr>
          <w:rFonts w:ascii="Arial" w:cs="Arial" w:eastAsia="Arial" w:hAnsi="Arial"/>
          <w:sz w:val="20"/>
          <w:szCs w:val="20"/>
          <w:color w:val="auto"/>
        </w:rPr>
        <w:t>Any performance goal or other condition imposed on the exercise of an Option under Sections 4(b)(iv) and 7(a) of the Plan, shall be:</w:t>
      </w:r>
    </w:p>
    <w:p>
      <w:pPr>
        <w:spacing w:after="0" w:line="21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9"/>
          <w:szCs w:val="19"/>
          <w:color w:val="auto"/>
        </w:rPr>
        <w:t>objective;</w:t>
      </w:r>
    </w:p>
    <w:p>
      <w:pPr>
        <w:spacing w:after="0" w:line="229"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9"/>
          <w:szCs w:val="19"/>
          <w:color w:val="auto"/>
        </w:rPr>
        <w:t>such that, once satisfied, the exercise of the Option is not subject to the discretion of any person; and</w:t>
      </w:r>
    </w:p>
    <w:p>
      <w:pPr>
        <w:spacing w:after="0" w:line="22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9"/>
          <w:szCs w:val="19"/>
          <w:color w:val="auto"/>
        </w:rPr>
        <w:t>stated on the Date of Grant.</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55" w:right="239" w:bottom="1440" w:gutter="0" w:footer="0" w:header="0"/>
        </w:sectPr>
      </w:pPr>
    </w:p>
    <w:bookmarkStart w:id="30" w:name="page31"/>
    <w:bookmarkEnd w:id="30"/>
    <w:p>
      <w:pPr>
        <w:jc w:val="both"/>
        <w:ind w:left="620" w:firstLine="621"/>
        <w:spacing w:after="0" w:line="243" w:lineRule="auto"/>
        <w:rPr>
          <w:sz w:val="20"/>
          <w:szCs w:val="20"/>
          <w:color w:val="auto"/>
        </w:rPr>
      </w:pPr>
      <w:r>
        <w:rPr>
          <w:rFonts w:ascii="Arial" w:cs="Arial" w:eastAsia="Arial" w:hAnsi="Arial"/>
          <w:sz w:val="20"/>
          <w:szCs w:val="20"/>
          <w:color w:val="auto"/>
        </w:rPr>
        <w:t>If an event occurs as a result of which the Administrator considers that a performance goal or other condition imposed on the exercise of an Option is no longer appropriate and substitutes, varies or waives under Sections 4(d) or 10(c) of the Plan the performance goal or condition, such substitution, variation or waiver shall:</w:t>
      </w:r>
    </w:p>
    <w:p>
      <w:pPr>
        <w:spacing w:after="0" w:line="220"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9"/>
          <w:szCs w:val="19"/>
          <w:color w:val="auto"/>
        </w:rPr>
        <w:t>be fair and reasonable in the circumstances; and</w:t>
      </w:r>
    </w:p>
    <w:p>
      <w:pPr>
        <w:spacing w:after="0" w:line="241"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9"/>
          <w:szCs w:val="19"/>
          <w:color w:val="auto"/>
        </w:rPr>
        <w:t>produce a fairer measure of performance and be neither more nor less difficult to satisfy.</w:t>
      </w:r>
    </w:p>
    <w:p>
      <w:pPr>
        <w:spacing w:after="0" w:line="217"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Exercise of Options by leavers</w:t>
      </w:r>
    </w:p>
    <w:p>
      <w:pPr>
        <w:spacing w:after="0" w:line="253" w:lineRule="exact"/>
        <w:rPr>
          <w:sz w:val="20"/>
          <w:szCs w:val="20"/>
          <w:color w:val="auto"/>
        </w:rPr>
      </w:pPr>
    </w:p>
    <w:p>
      <w:pPr>
        <w:ind w:left="660" w:hanging="647"/>
        <w:spacing w:after="0" w:line="247" w:lineRule="auto"/>
        <w:tabs>
          <w:tab w:leader="none" w:pos="640" w:val="left"/>
        </w:tabs>
        <w:rPr>
          <w:sz w:val="20"/>
          <w:szCs w:val="20"/>
          <w:color w:val="auto"/>
        </w:rPr>
      </w:pPr>
      <w:r>
        <w:rPr>
          <w:rFonts w:ascii="Arial" w:cs="Arial" w:eastAsia="Arial" w:hAnsi="Arial"/>
          <w:sz w:val="20"/>
          <w:szCs w:val="20"/>
          <w:color w:val="auto"/>
        </w:rPr>
        <w:t>20.1</w:t>
        <w:tab/>
        <w:t>The period during which an Option shall remain exercisable following termination of employment, shall be stated in the Terms.</w:t>
      </w:r>
    </w:p>
    <w:p>
      <w:pPr>
        <w:spacing w:after="0" w:line="31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9"/>
          <w:szCs w:val="19"/>
          <w:color w:val="auto"/>
        </w:rPr>
        <w:t>For the purposes of paragraph 35A of Schedule 4, the specified age is 55.</w:t>
      </w:r>
    </w:p>
    <w:p>
      <w:pPr>
        <w:spacing w:after="0" w:line="200" w:lineRule="exact"/>
        <w:rPr>
          <w:sz w:val="20"/>
          <w:szCs w:val="20"/>
          <w:color w:val="auto"/>
        </w:rPr>
      </w:pPr>
    </w:p>
    <w:p>
      <w:pPr>
        <w:spacing w:after="0" w:line="343"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Latest date for exercise of Options</w:t>
      </w:r>
    </w:p>
    <w:p>
      <w:pPr>
        <w:spacing w:after="0" w:line="253" w:lineRule="exact"/>
        <w:rPr>
          <w:sz w:val="20"/>
          <w:szCs w:val="20"/>
          <w:color w:val="auto"/>
        </w:rPr>
      </w:pPr>
    </w:p>
    <w:p>
      <w:pPr>
        <w:ind w:left="620" w:right="20"/>
        <w:spacing w:after="0" w:line="247" w:lineRule="auto"/>
        <w:rPr>
          <w:sz w:val="20"/>
          <w:szCs w:val="20"/>
          <w:color w:val="auto"/>
        </w:rPr>
      </w:pPr>
      <w:r>
        <w:rPr>
          <w:rFonts w:ascii="Arial" w:cs="Arial" w:eastAsia="Arial" w:hAnsi="Arial"/>
          <w:sz w:val="20"/>
          <w:szCs w:val="20"/>
          <w:color w:val="auto"/>
        </w:rPr>
        <w:t>Notwithstanding rule 25, the Expiration Date on or before which an Option may be exercised after satisfying the conditions for exercise shall be stated in the Notice and any Option not exercised by that time shall lapse immediately.</w:t>
      </w:r>
    </w:p>
    <w:p>
      <w:pPr>
        <w:spacing w:after="0" w:line="191"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Material Interest</w:t>
      </w:r>
    </w:p>
    <w:p>
      <w:pPr>
        <w:spacing w:after="0" w:line="253"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An Option may not be exercised if the Grantee then has, or has had within the preceding twelve months, a Material Interest in a Close Company which is Price Group or which is a company which has Control of Price Group or which is a member of a Consortium which owns Price Group.</w:t>
      </w:r>
    </w:p>
    <w:p>
      <w:pPr>
        <w:spacing w:after="0" w:line="196"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Manner of payment for Shares on exercise of Options</w:t>
      </w:r>
    </w:p>
    <w:p>
      <w:pPr>
        <w:spacing w:after="0" w:line="253"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Paragraph 3 of the Terms provides for the method of exercising the Option and payment of the exercise price, together with any amounts due under rule 30. Notwithstanding any provisions of the Plan, the exercise price may not be paid by the transfer to Price Group of Shares or any other shares or securities</w:t>
      </w:r>
      <w:r>
        <w:rPr>
          <w:rFonts w:ascii="Arial" w:cs="Arial" w:eastAsia="Arial" w:hAnsi="Arial"/>
          <w:sz w:val="20"/>
          <w:szCs w:val="20"/>
          <w:i w:val="1"/>
          <w:iCs w:val="1"/>
          <w:color w:val="auto"/>
        </w:rPr>
        <w:t>.</w:t>
      </w:r>
    </w:p>
    <w:p>
      <w:pPr>
        <w:spacing w:after="0" w:line="196"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Issue or transfer of Shares on exercise of Options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Subject to compliance by the Grantee with the rules of the Sub-Plan and to any delay necessary to complete or obtain:</w:t>
      </w:r>
    </w:p>
    <w:p>
      <w:pPr>
        <w:ind w:left="520"/>
        <w:spacing w:after="0"/>
        <w:rPr>
          <w:sz w:val="20"/>
          <w:szCs w:val="20"/>
          <w:color w:val="auto"/>
        </w:rPr>
      </w:pPr>
      <w:r>
        <w:rPr>
          <w:rFonts w:ascii="Arial" w:cs="Arial" w:eastAsia="Arial" w:hAnsi="Arial"/>
          <w:sz w:val="20"/>
          <w:szCs w:val="20"/>
          <w:color w:val="auto"/>
        </w:rPr>
        <w:t>the listing of the Shares on any stock exchange on which Shares are then listed; 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09" w:right="239" w:bottom="1440" w:gutter="0" w:footer="0" w:header="0"/>
        </w:sectPr>
      </w:pPr>
    </w:p>
    <w:bookmarkStart w:id="31" w:name="page32"/>
    <w:bookmarkEnd w:id="31"/>
    <w:p>
      <w:pPr>
        <w:ind w:left="1280" w:right="420" w:hanging="620"/>
        <w:spacing w:after="0" w:line="247" w:lineRule="auto"/>
        <w:tabs>
          <w:tab w:leader="none" w:pos="12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20"/>
          <w:szCs w:val="20"/>
          <w:color w:val="auto"/>
        </w:rPr>
        <w:t>such registration or other qualification of the Shares under any applicable law, rule or regulation as Price Group determines is necessary or desirable.</w:t>
      </w:r>
    </w:p>
    <w:p>
      <w:pPr>
        <w:spacing w:after="0" w:line="215" w:lineRule="exact"/>
        <w:rPr>
          <w:sz w:val="20"/>
          <w:szCs w:val="20"/>
          <w:color w:val="auto"/>
        </w:rPr>
      </w:pPr>
    </w:p>
    <w:p>
      <w:pPr>
        <w:jc w:val="both"/>
        <w:ind w:left="620"/>
        <w:spacing w:after="0" w:line="242" w:lineRule="auto"/>
        <w:rPr>
          <w:sz w:val="20"/>
          <w:szCs w:val="20"/>
          <w:color w:val="auto"/>
        </w:rPr>
      </w:pPr>
      <w:r>
        <w:rPr>
          <w:rFonts w:ascii="Arial" w:cs="Arial" w:eastAsia="Arial" w:hAnsi="Arial"/>
          <w:sz w:val="20"/>
          <w:szCs w:val="20"/>
          <w:color w:val="auto"/>
        </w:rPr>
        <w:t>Price Group shall, as soon as reasonably practicable and in any event not later than thirty days after the date of exercise of an Option, issue or transfer to the Grantee, or procure the issue or transfer to the Grantee of, the number of Shares specified in the notice of exercise and shall deliver to the Grantee, in the case of the partial exercise of an Option, a Notice in respect of, or the original Notice endorsed to show, the unexercised part of the Option, subject only to:</w:t>
      </w:r>
    </w:p>
    <w:p>
      <w:pPr>
        <w:spacing w:after="0" w:line="220" w:lineRule="exact"/>
        <w:rPr>
          <w:sz w:val="20"/>
          <w:szCs w:val="20"/>
          <w:color w:val="auto"/>
        </w:rPr>
      </w:pPr>
    </w:p>
    <w:p>
      <w:pPr>
        <w:ind w:left="1260" w:right="160" w:hanging="625"/>
        <w:spacing w:after="0" w:line="247" w:lineRule="auto"/>
        <w:tabs>
          <w:tab w:leader="none" w:pos="12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20"/>
          <w:szCs w:val="20"/>
          <w:color w:val="auto"/>
        </w:rPr>
        <w:t>the making of provision for the payment or withholding of any taxes required to be withheld in accordance with any applicable law in respect of the exercise of the Option or the receipt of the Shares.</w:t>
      </w:r>
    </w:p>
    <w:p>
      <w:pPr>
        <w:spacing w:after="0" w:line="215" w:lineRule="exact"/>
        <w:rPr>
          <w:sz w:val="20"/>
          <w:szCs w:val="20"/>
          <w:color w:val="auto"/>
        </w:rPr>
      </w:pPr>
    </w:p>
    <w:p>
      <w:pPr>
        <w:ind w:left="1280" w:right="20" w:hanging="620"/>
        <w:spacing w:after="0" w:line="243" w:lineRule="auto"/>
        <w:tabs>
          <w:tab w:leader="none" w:pos="12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20"/>
          <w:szCs w:val="20"/>
          <w:color w:val="auto"/>
        </w:rPr>
        <w:t>Notwithstanding Section 4(vii) of the Plan, deferral of the individual’s delivery of Shares that would otherwise be due to such individual by virtue of the exercise of the Option is disapplied for the purposes of the Sub-Plan in accordance with rule 33.2.</w:t>
      </w:r>
    </w:p>
    <w:p>
      <w:pPr>
        <w:spacing w:after="0" w:line="220"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Unless and until the Grantee requests Price Group to deliver a share certificate to the Grantee, or deliver Shares electronically or in certificate form to the Grantee’s designated broker, bank or nominee on the Grantee’s behalf, Price Group will retain the Shares that the Grantee purchased through exercise of the Option in uncertificated book entry form.</w:t>
      </w:r>
    </w:p>
    <w:p>
      <w:pPr>
        <w:spacing w:after="0" w:line="196"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Death of Grantee</w:t>
      </w:r>
    </w:p>
    <w:p>
      <w:pPr>
        <w:spacing w:after="0" w:line="253"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If a Grantee dies, his personal representatives shall be entitled to exercise his Options for the period stated in the Terms, but in no event later than the Expiration Date stated in the Notice nor the end of the twelve month period following the date of his death. If not so exercised, the Options shall lapse immediately.</w:t>
      </w:r>
    </w:p>
    <w:p>
      <w:pPr>
        <w:spacing w:after="0" w:line="196" w:lineRule="exact"/>
        <w:rPr>
          <w:sz w:val="20"/>
          <w:szCs w:val="20"/>
          <w:color w:val="auto"/>
        </w:rPr>
      </w:pPr>
    </w:p>
    <w:p>
      <w:pPr>
        <w:ind w:left="620" w:right="8000" w:hanging="612"/>
        <w:spacing w:after="0" w:line="504" w:lineRule="auto"/>
        <w:tabs>
          <w:tab w:leader="none" w:pos="494"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 xml:space="preserve">Change in Control of Company </w:t>
      </w:r>
      <w:r>
        <w:rPr>
          <w:rFonts w:ascii="Arial" w:cs="Arial" w:eastAsia="Arial" w:hAnsi="Arial"/>
          <w:sz w:val="19"/>
          <w:szCs w:val="19"/>
          <w:color w:val="auto"/>
        </w:rPr>
        <w:t xml:space="preserve">26.1 </w:t>
      </w:r>
      <w:r>
        <w:rPr>
          <w:rFonts w:ascii="Arial" w:cs="Arial" w:eastAsia="Arial" w:hAnsi="Arial"/>
          <w:sz w:val="19"/>
          <w:szCs w:val="19"/>
          <w:b w:val="1"/>
          <w:bCs w:val="1"/>
          <w:color w:val="auto"/>
        </w:rPr>
        <w:t>Exchange of Options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If a company (“</w:t>
      </w:r>
      <w:r>
        <w:rPr>
          <w:rFonts w:ascii="Arial" w:cs="Arial" w:eastAsia="Arial" w:hAnsi="Arial"/>
          <w:sz w:val="20"/>
          <w:szCs w:val="20"/>
          <w:b w:val="1"/>
          <w:bCs w:val="1"/>
          <w:color w:val="auto"/>
        </w:rPr>
        <w:t>Acquiring Company</w:t>
      </w:r>
      <w:r>
        <w:rPr>
          <w:rFonts w:ascii="Arial" w:cs="Arial" w:eastAsia="Arial" w:hAnsi="Arial"/>
          <w:sz w:val="20"/>
          <w:szCs w:val="20"/>
          <w:color w:val="auto"/>
        </w:rPr>
        <w:t>”) obtains Control of Price Group as a result of making:</w:t>
      </w:r>
    </w:p>
    <w:p>
      <w:pPr>
        <w:spacing w:after="0" w:line="24" w:lineRule="exact"/>
        <w:rPr>
          <w:sz w:val="20"/>
          <w:szCs w:val="20"/>
          <w:color w:val="auto"/>
        </w:rPr>
      </w:pPr>
    </w:p>
    <w:p>
      <w:pPr>
        <w:ind w:left="1280"/>
        <w:spacing w:after="0" w:line="247" w:lineRule="auto"/>
        <w:rPr>
          <w:sz w:val="20"/>
          <w:szCs w:val="20"/>
          <w:color w:val="auto"/>
        </w:rPr>
      </w:pPr>
      <w:r>
        <w:rPr>
          <w:rFonts w:ascii="Arial" w:cs="Arial" w:eastAsia="Arial" w:hAnsi="Arial"/>
          <w:sz w:val="20"/>
          <w:szCs w:val="20"/>
          <w:color w:val="auto"/>
        </w:rPr>
        <w:t>a general offer to acquire the whole of the issued ordinary share capital of Price Group which is made on a condition such that if it is satisfied the person making the offer will have Control of Price Group; or</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26.1.1</w:t>
      </w:r>
      <w:r>
        <w:rPr>
          <w:rFonts w:ascii="Arial" w:cs="Arial" w:eastAsia="Arial" w:hAnsi="Arial"/>
          <w:sz w:val="19"/>
          <w:szCs w:val="19"/>
          <w:color w:val="auto"/>
        </w:rPr>
        <w:t>a general offer to acquire all the shares in Price Group of the same class as the Shares</w:t>
      </w:r>
    </w:p>
    <w:p>
      <w:pPr>
        <w:spacing w:after="0" w:line="241"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a Grantee may, at any time during the period set out in rule 26.2, by agreement with the Acquiring Company, release his Option in whole or in part in consideration of</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9" w:right="239" w:bottom="1440" w:gutter="0" w:footer="0" w:header="0"/>
        </w:sectPr>
      </w:pPr>
    </w:p>
    <w:bookmarkStart w:id="32" w:name="page33"/>
    <w:bookmarkEnd w:id="32"/>
    <w:p>
      <w:pPr>
        <w:ind w:left="660"/>
        <w:spacing w:after="0" w:line="272" w:lineRule="auto"/>
        <w:rPr>
          <w:sz w:val="20"/>
          <w:szCs w:val="20"/>
          <w:color w:val="auto"/>
        </w:rPr>
      </w:pPr>
      <w:r>
        <w:rPr>
          <w:rFonts w:ascii="Arial" w:cs="Arial" w:eastAsia="Arial" w:hAnsi="Arial"/>
          <w:sz w:val="20"/>
          <w:szCs w:val="20"/>
          <w:color w:val="auto"/>
        </w:rPr>
        <w:t>the grant to him of a new option (“</w:t>
      </w:r>
      <w:r>
        <w:rPr>
          <w:rFonts w:ascii="Arial" w:cs="Arial" w:eastAsia="Arial" w:hAnsi="Arial"/>
          <w:sz w:val="20"/>
          <w:szCs w:val="20"/>
          <w:b w:val="1"/>
          <w:bCs w:val="1"/>
          <w:color w:val="auto"/>
        </w:rPr>
        <w:t>New Option</w:t>
      </w:r>
      <w:r>
        <w:rPr>
          <w:rFonts w:ascii="Arial" w:cs="Arial" w:eastAsia="Arial" w:hAnsi="Arial"/>
          <w:sz w:val="20"/>
          <w:szCs w:val="20"/>
          <w:color w:val="auto"/>
        </w:rPr>
        <w:t>”) which is equivalent to the Option but which relates to shares (“</w:t>
      </w:r>
      <w:r>
        <w:rPr>
          <w:rFonts w:ascii="Arial" w:cs="Arial" w:eastAsia="Arial" w:hAnsi="Arial"/>
          <w:sz w:val="20"/>
          <w:szCs w:val="20"/>
          <w:b w:val="1"/>
          <w:bCs w:val="1"/>
          <w:color w:val="auto"/>
        </w:rPr>
        <w:t>New</w:t>
      </w:r>
      <w:r>
        <w:rPr>
          <w:rFonts w:ascii="Arial" w:cs="Arial" w:eastAsia="Arial" w:hAnsi="Arial"/>
          <w:sz w:val="20"/>
          <w:szCs w:val="20"/>
          <w:color w:val="auto"/>
        </w:rPr>
        <w:t xml:space="preserve"> </w:t>
      </w:r>
      <w:r>
        <w:rPr>
          <w:rFonts w:ascii="Arial" w:cs="Arial" w:eastAsia="Arial" w:hAnsi="Arial"/>
          <w:sz w:val="20"/>
          <w:szCs w:val="20"/>
          <w:b w:val="1"/>
          <w:bCs w:val="1"/>
          <w:color w:val="auto"/>
        </w:rPr>
        <w:t>Shares</w:t>
      </w:r>
      <w:r>
        <w:rPr>
          <w:rFonts w:ascii="Arial" w:cs="Arial" w:eastAsia="Arial" w:hAnsi="Arial"/>
          <w:sz w:val="20"/>
          <w:szCs w:val="20"/>
          <w:color w:val="auto"/>
        </w:rPr>
        <w:t>”) in:</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26.1.2</w:t>
      </w:r>
      <w:r>
        <w:rPr>
          <w:rFonts w:ascii="Arial" w:cs="Arial" w:eastAsia="Arial" w:hAnsi="Arial"/>
          <w:sz w:val="19"/>
          <w:szCs w:val="19"/>
          <w:color w:val="auto"/>
        </w:rPr>
        <w:t>the Acquiring Company;</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26.1.3</w:t>
      </w:r>
      <w:r>
        <w:rPr>
          <w:rFonts w:ascii="Arial" w:cs="Arial" w:eastAsia="Arial" w:hAnsi="Arial"/>
          <w:sz w:val="19"/>
          <w:szCs w:val="19"/>
          <w:color w:val="auto"/>
        </w:rPr>
        <w:t>a company which has Control of the Acquiring Company; or</w:t>
      </w:r>
    </w:p>
    <w:p>
      <w:pPr>
        <w:spacing w:after="0" w:line="241" w:lineRule="exact"/>
        <w:rPr>
          <w:sz w:val="20"/>
          <w:szCs w:val="20"/>
          <w:color w:val="auto"/>
        </w:rPr>
      </w:pPr>
    </w:p>
    <w:p>
      <w:pPr>
        <w:jc w:val="both"/>
        <w:ind w:left="1740" w:hanging="1107"/>
        <w:spacing w:after="0" w:line="272" w:lineRule="auto"/>
        <w:rPr>
          <w:sz w:val="20"/>
          <w:szCs w:val="20"/>
          <w:color w:val="auto"/>
        </w:rPr>
      </w:pPr>
      <w:r>
        <w:rPr>
          <w:rFonts w:ascii="Arial" w:cs="Arial" w:eastAsia="Arial" w:hAnsi="Arial"/>
          <w:sz w:val="18"/>
          <w:szCs w:val="18"/>
          <w:color w:val="auto"/>
        </w:rPr>
        <w:t>26.1.4</w:t>
      </w:r>
      <w:r>
        <w:rPr>
          <w:rFonts w:ascii="Arial" w:cs="Arial" w:eastAsia="Arial" w:hAnsi="Arial"/>
          <w:sz w:val="19"/>
          <w:szCs w:val="19"/>
          <w:color w:val="auto"/>
        </w:rPr>
        <w:t>a company which either is, or has Control of, a company which is a member of a Consortium which owns either the</w:t>
      </w:r>
      <w:r>
        <w:rPr>
          <w:rFonts w:ascii="Arial" w:cs="Arial" w:eastAsia="Arial" w:hAnsi="Arial"/>
          <w:sz w:val="18"/>
          <w:szCs w:val="18"/>
          <w:color w:val="auto"/>
        </w:rPr>
        <w:t xml:space="preserve"> </w:t>
      </w:r>
      <w:r>
        <w:rPr>
          <w:rFonts w:ascii="Arial" w:cs="Arial" w:eastAsia="Arial" w:hAnsi="Arial"/>
          <w:sz w:val="19"/>
          <w:szCs w:val="19"/>
          <w:color w:val="auto"/>
        </w:rPr>
        <w:t>Acquiring Company or a company having Control of the Acquiring Company.</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19"/>
          <w:szCs w:val="19"/>
          <w:b w:val="1"/>
          <w:bCs w:val="1"/>
          <w:color w:val="auto"/>
        </w:rPr>
        <w:t>Period allowed for exchange of Options</w:t>
      </w:r>
    </w:p>
    <w:p>
      <w:pPr>
        <w:spacing w:after="0" w:line="253" w:lineRule="exact"/>
        <w:rPr>
          <w:sz w:val="20"/>
          <w:szCs w:val="20"/>
          <w:color w:val="auto"/>
        </w:rPr>
      </w:pPr>
    </w:p>
    <w:p>
      <w:pPr>
        <w:ind w:left="1280"/>
        <w:spacing w:after="0" w:line="247" w:lineRule="auto"/>
        <w:rPr>
          <w:sz w:val="20"/>
          <w:szCs w:val="20"/>
          <w:color w:val="auto"/>
        </w:rPr>
      </w:pPr>
      <w:r>
        <w:rPr>
          <w:rFonts w:ascii="Arial" w:cs="Arial" w:eastAsia="Arial" w:hAnsi="Arial"/>
          <w:sz w:val="20"/>
          <w:szCs w:val="20"/>
          <w:color w:val="auto"/>
        </w:rPr>
        <w:t>The period referred to in rule 26.1 is the period of six months beginning with the time when the person making the offer has obtained Control of Price Group and any condition subject to which the offer is made has been satisfied.</w:t>
      </w:r>
    </w:p>
    <w:p>
      <w:pPr>
        <w:spacing w:after="0" w:line="19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9"/>
          <w:szCs w:val="19"/>
          <w:b w:val="1"/>
          <w:bCs w:val="1"/>
          <w:color w:val="auto"/>
        </w:rPr>
        <w:t>Meaning of “equivalent”</w:t>
      </w:r>
    </w:p>
    <w:p>
      <w:pPr>
        <w:spacing w:after="0" w:line="25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The New Option shall not be regarded for the purpose of this rule 26 as equivalent to the Option unless: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26.3.1</w:t>
      </w:r>
      <w:r>
        <w:rPr>
          <w:rFonts w:ascii="Arial" w:cs="Arial" w:eastAsia="Arial" w:hAnsi="Arial"/>
          <w:sz w:val="19"/>
          <w:szCs w:val="19"/>
          <w:color w:val="auto"/>
        </w:rPr>
        <w:t>the New Shares satisfy the conditions in paragraphs 16 to 20 of Schedule 4; and</w:t>
      </w:r>
    </w:p>
    <w:p>
      <w:pPr>
        <w:spacing w:after="0" w:line="241" w:lineRule="exact"/>
        <w:rPr>
          <w:sz w:val="20"/>
          <w:szCs w:val="20"/>
          <w:color w:val="auto"/>
        </w:rPr>
      </w:pPr>
    </w:p>
    <w:p>
      <w:pPr>
        <w:jc w:val="both"/>
        <w:ind w:left="1740" w:hanging="1107"/>
        <w:spacing w:after="0" w:line="262" w:lineRule="auto"/>
        <w:rPr>
          <w:sz w:val="20"/>
          <w:szCs w:val="20"/>
          <w:color w:val="auto"/>
        </w:rPr>
      </w:pPr>
      <w:r>
        <w:rPr>
          <w:rFonts w:ascii="Arial" w:cs="Arial" w:eastAsia="Arial" w:hAnsi="Arial"/>
          <w:sz w:val="18"/>
          <w:szCs w:val="18"/>
          <w:color w:val="auto"/>
        </w:rPr>
        <w:t>26.3.2</w:t>
      </w:r>
      <w:r>
        <w:rPr>
          <w:rFonts w:ascii="Arial" w:cs="Arial" w:eastAsia="Arial" w:hAnsi="Arial"/>
          <w:sz w:val="19"/>
          <w:szCs w:val="19"/>
          <w:color w:val="auto"/>
        </w:rPr>
        <w:t>save for any performance target or other condition imposed on the exercise of the Option, the New Option will be</w:t>
      </w:r>
      <w:r>
        <w:rPr>
          <w:rFonts w:ascii="Arial" w:cs="Arial" w:eastAsia="Arial" w:hAnsi="Arial"/>
          <w:sz w:val="18"/>
          <w:szCs w:val="18"/>
          <w:color w:val="auto"/>
        </w:rPr>
        <w:t xml:space="preserve"> </w:t>
      </w:r>
      <w:r>
        <w:rPr>
          <w:rFonts w:ascii="Arial" w:cs="Arial" w:eastAsia="Arial" w:hAnsi="Arial"/>
          <w:sz w:val="19"/>
          <w:szCs w:val="19"/>
          <w:color w:val="auto"/>
        </w:rPr>
        <w:t>exercisable in the same manner as the Option and subject to the provisions of the Sub-Plan as it had effect immediately before the release of the Option; and</w:t>
      </w:r>
    </w:p>
    <w:p>
      <w:pPr>
        <w:spacing w:after="0" w:line="203" w:lineRule="exact"/>
        <w:rPr>
          <w:sz w:val="20"/>
          <w:szCs w:val="20"/>
          <w:color w:val="auto"/>
        </w:rPr>
      </w:pPr>
    </w:p>
    <w:p>
      <w:pPr>
        <w:jc w:val="both"/>
        <w:ind w:left="1740" w:hanging="1107"/>
        <w:spacing w:after="0" w:line="261" w:lineRule="auto"/>
        <w:rPr>
          <w:sz w:val="20"/>
          <w:szCs w:val="20"/>
          <w:color w:val="auto"/>
        </w:rPr>
      </w:pPr>
      <w:r>
        <w:rPr>
          <w:rFonts w:ascii="Arial" w:cs="Arial" w:eastAsia="Arial" w:hAnsi="Arial"/>
          <w:sz w:val="18"/>
          <w:szCs w:val="18"/>
          <w:color w:val="auto"/>
        </w:rPr>
        <w:t>26.3.3</w:t>
      </w:r>
      <w:r>
        <w:rPr>
          <w:rFonts w:ascii="Arial" w:cs="Arial" w:eastAsia="Arial" w:hAnsi="Arial"/>
          <w:sz w:val="19"/>
          <w:szCs w:val="19"/>
          <w:color w:val="auto"/>
        </w:rPr>
        <w:t>the total market value, immediately before the release of the Option, of the Shares which were subject to the Option is</w:t>
      </w:r>
      <w:r>
        <w:rPr>
          <w:rFonts w:ascii="Arial" w:cs="Arial" w:eastAsia="Arial" w:hAnsi="Arial"/>
          <w:sz w:val="18"/>
          <w:szCs w:val="18"/>
          <w:color w:val="auto"/>
        </w:rPr>
        <w:t xml:space="preserve"> </w:t>
      </w:r>
      <w:r>
        <w:rPr>
          <w:rFonts w:ascii="Arial" w:cs="Arial" w:eastAsia="Arial" w:hAnsi="Arial"/>
          <w:sz w:val="19"/>
          <w:szCs w:val="19"/>
          <w:color w:val="auto"/>
        </w:rPr>
        <w:t>equal to the total market value, immediately after the grant of the New Option, of the New Shares (market value being determined for this purpose in accordance with Part VIII of the Taxation of Chargeable Gains Act 1992); and</w:t>
      </w:r>
    </w:p>
    <w:p>
      <w:pPr>
        <w:spacing w:after="0" w:line="200" w:lineRule="exact"/>
        <w:rPr>
          <w:sz w:val="20"/>
          <w:szCs w:val="20"/>
          <w:color w:val="auto"/>
        </w:rPr>
      </w:pPr>
    </w:p>
    <w:p>
      <w:pPr>
        <w:spacing w:after="0" w:line="235" w:lineRule="exact"/>
        <w:rPr>
          <w:sz w:val="20"/>
          <w:szCs w:val="20"/>
          <w:color w:val="auto"/>
        </w:rPr>
      </w:pPr>
    </w:p>
    <w:p>
      <w:pPr>
        <w:jc w:val="both"/>
        <w:ind w:left="1740" w:right="20" w:hanging="1107"/>
        <w:spacing w:after="0" w:line="272" w:lineRule="auto"/>
        <w:rPr>
          <w:sz w:val="20"/>
          <w:szCs w:val="20"/>
          <w:color w:val="auto"/>
        </w:rPr>
      </w:pPr>
      <w:r>
        <w:rPr>
          <w:rFonts w:ascii="Arial" w:cs="Arial" w:eastAsia="Arial" w:hAnsi="Arial"/>
          <w:sz w:val="18"/>
          <w:szCs w:val="18"/>
          <w:color w:val="auto"/>
        </w:rPr>
        <w:t>26.3.4</w:t>
      </w:r>
      <w:r>
        <w:rPr>
          <w:rFonts w:ascii="Arial" w:cs="Arial" w:eastAsia="Arial" w:hAnsi="Arial"/>
          <w:sz w:val="19"/>
          <w:szCs w:val="19"/>
          <w:color w:val="auto"/>
        </w:rPr>
        <w:t>the total amount payable by the Grantee for the acquisition of the New Shares under the New Option is equal to the</w:t>
      </w:r>
      <w:r>
        <w:rPr>
          <w:rFonts w:ascii="Arial" w:cs="Arial" w:eastAsia="Arial" w:hAnsi="Arial"/>
          <w:sz w:val="18"/>
          <w:szCs w:val="18"/>
          <w:color w:val="auto"/>
        </w:rPr>
        <w:t xml:space="preserve"> </w:t>
      </w:r>
      <w:r>
        <w:rPr>
          <w:rFonts w:ascii="Arial" w:cs="Arial" w:eastAsia="Arial" w:hAnsi="Arial"/>
          <w:sz w:val="19"/>
          <w:szCs w:val="19"/>
          <w:color w:val="auto"/>
        </w:rPr>
        <w:t>total amount that would have been payable by the Grantee for the acquisition of the Shares under the Option.</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0"/>
          <w:szCs w:val="20"/>
          <w:color w:val="auto"/>
        </w:rPr>
        <w:t>26.4</w:t>
      </w:r>
      <w:r>
        <w:rPr>
          <w:sz w:val="20"/>
          <w:szCs w:val="20"/>
          <w:color w:val="auto"/>
        </w:rPr>
        <w:tab/>
      </w:r>
      <w:r>
        <w:rPr>
          <w:rFonts w:ascii="Arial" w:cs="Arial" w:eastAsia="Arial" w:hAnsi="Arial"/>
          <w:sz w:val="19"/>
          <w:szCs w:val="19"/>
          <w:b w:val="1"/>
          <w:bCs w:val="1"/>
          <w:color w:val="auto"/>
        </w:rPr>
        <w:t>Date of grant of New Option</w:t>
      </w:r>
    </w:p>
    <w:p>
      <w:pPr>
        <w:spacing w:after="0" w:line="25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The date of grant of the New Option shall be deemed to be the same as the Date of Grant of the Option.</w:t>
      </w:r>
    </w:p>
    <w:p>
      <w:pPr>
        <w:spacing w:after="0" w:line="20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0"/>
          <w:szCs w:val="20"/>
          <w:color w:val="auto"/>
        </w:rPr>
        <w:t>26.5</w:t>
      </w:r>
      <w:r>
        <w:rPr>
          <w:sz w:val="20"/>
          <w:szCs w:val="20"/>
          <w:color w:val="auto"/>
        </w:rPr>
        <w:tab/>
      </w:r>
      <w:r>
        <w:rPr>
          <w:rFonts w:ascii="Arial" w:cs="Arial" w:eastAsia="Arial" w:hAnsi="Arial"/>
          <w:sz w:val="19"/>
          <w:szCs w:val="19"/>
          <w:b w:val="1"/>
          <w:bCs w:val="1"/>
          <w:color w:val="auto"/>
        </w:rPr>
        <w:t>Application of Sub-Plan to New Option</w:t>
      </w:r>
    </w:p>
    <w:p>
      <w:pPr>
        <w:spacing w:after="0" w:line="253" w:lineRule="exact"/>
        <w:rPr>
          <w:sz w:val="20"/>
          <w:szCs w:val="20"/>
          <w:color w:val="auto"/>
        </w:rPr>
      </w:pPr>
    </w:p>
    <w:p>
      <w:pPr>
        <w:ind w:left="1280" w:right="20"/>
        <w:spacing w:after="0" w:line="247" w:lineRule="auto"/>
        <w:rPr>
          <w:sz w:val="20"/>
          <w:szCs w:val="20"/>
          <w:color w:val="auto"/>
        </w:rPr>
      </w:pPr>
      <w:r>
        <w:rPr>
          <w:rFonts w:ascii="Arial" w:cs="Arial" w:eastAsia="Arial" w:hAnsi="Arial"/>
          <w:sz w:val="20"/>
          <w:szCs w:val="20"/>
          <w:color w:val="auto"/>
        </w:rPr>
        <w:t>In the application of the Sub-Plan to the New Option, where appropriate, references to “Price Group” and “Shares” shall be read as if they were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55" w:right="239" w:bottom="1440" w:gutter="0" w:footer="0" w:header="0"/>
        </w:sectPr>
      </w:pPr>
    </w:p>
    <w:bookmarkStart w:id="33" w:name="page34"/>
    <w:bookmarkEnd w:id="33"/>
    <w:p>
      <w:pPr>
        <w:jc w:val="both"/>
        <w:ind w:left="1280"/>
        <w:spacing w:after="0" w:line="243" w:lineRule="auto"/>
        <w:rPr>
          <w:sz w:val="20"/>
          <w:szCs w:val="20"/>
          <w:color w:val="auto"/>
        </w:rPr>
      </w:pPr>
      <w:r>
        <w:rPr>
          <w:rFonts w:ascii="Arial" w:cs="Arial" w:eastAsia="Arial" w:hAnsi="Arial"/>
          <w:sz w:val="20"/>
          <w:szCs w:val="20"/>
          <w:color w:val="auto"/>
        </w:rPr>
        <w:t>references to the company to whose shares the New Option relates and the New Shares, respectively, save that in the definition of “Administrator” or associated references, the reference to “Price Group” shall be read as if it were a reference to T. Rowe Price Group, Inc.</w:t>
      </w:r>
    </w:p>
    <w:p>
      <w:pPr>
        <w:spacing w:after="0" w:line="196"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Rights attaching to Shares issued on exercise of Options</w:t>
      </w:r>
    </w:p>
    <w:p>
      <w:pPr>
        <w:spacing w:after="0" w:line="253" w:lineRule="exact"/>
        <w:rPr>
          <w:sz w:val="20"/>
          <w:szCs w:val="20"/>
          <w:color w:val="auto"/>
        </w:rPr>
      </w:pPr>
    </w:p>
    <w:p>
      <w:pPr>
        <w:ind w:left="620" w:right="60" w:firstLine="648"/>
        <w:spacing w:after="0" w:line="239" w:lineRule="auto"/>
        <w:rPr>
          <w:sz w:val="20"/>
          <w:szCs w:val="20"/>
          <w:color w:val="auto"/>
        </w:rPr>
      </w:pPr>
      <w:r>
        <w:rPr>
          <w:rFonts w:ascii="Arial" w:cs="Arial" w:eastAsia="Arial" w:hAnsi="Arial"/>
          <w:sz w:val="20"/>
          <w:szCs w:val="20"/>
          <w:color w:val="auto"/>
        </w:rPr>
        <w:t>All Shares issued on the exercise of an Option shall, as to any voting, dividend, transfer and other rights, including those arising on a liquidation of Price Group, rank equally in all respects and as one class with the Shares in issue at the date of such exercise save as regards any rights attaching to such Shares by reference to a record date prior to the date of such exercise.</w:t>
      </w:r>
    </w:p>
    <w:p>
      <w:pPr>
        <w:spacing w:after="0" w:line="2"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Adjustment of Options</w:t>
      </w:r>
    </w:p>
    <w:p>
      <w:pPr>
        <w:ind w:left="660" w:right="140" w:hanging="661"/>
        <w:spacing w:after="0"/>
        <w:rPr>
          <w:sz w:val="20"/>
          <w:szCs w:val="20"/>
          <w:color w:val="auto"/>
        </w:rPr>
      </w:pPr>
      <w:r>
        <w:rPr>
          <w:rFonts w:ascii="Arial" w:cs="Arial" w:eastAsia="Arial" w:hAnsi="Arial"/>
          <w:sz w:val="20"/>
          <w:szCs w:val="20"/>
          <w:color w:val="auto"/>
        </w:rPr>
        <w:t>28.1Notwithstanding Sections 4(b)(v) and 10 (a) and (b) of the Plan and any provision in the Notice or the Terms, no substitution shall be made in respect of an Option and no adjustment shall be made to an Option except to take account of a variation in the share capital of Price Group, including but without limitation a capitalisation issue, rights issue, rights offer or bonus issue and a sub-division, consolidation or reduction in the capital of Price Group but excluding a capitalisation issue in substitution for or as an alternative to a cash dividend. In the event of such a variation in the share capital of Price Group, the number of Shares subject to an Option, the description of the Shares, the exercise price, or any one or more of these, may be adjusted in such manner as the Administrator determines.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28.2An adjustment shall not have effect until the adjustment has been approved by HM Revenue &amp; Customs.</w:t>
      </w:r>
    </w:p>
    <w:p>
      <w:pPr>
        <w:spacing w:after="0" w:line="20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HM Revenue &amp; Customs approval of amendments</w:t>
      </w:r>
    </w:p>
    <w:p>
      <w:pPr>
        <w:spacing w:after="0" w:line="23" w:lineRule="exact"/>
        <w:rPr>
          <w:rFonts w:ascii="Arial" w:cs="Arial" w:eastAsia="Arial" w:hAnsi="Arial"/>
          <w:sz w:val="20"/>
          <w:szCs w:val="20"/>
          <w:color w:val="auto"/>
        </w:rPr>
      </w:pPr>
    </w:p>
    <w:p>
      <w:pPr>
        <w:ind w:left="660" w:right="20"/>
        <w:spacing w:after="0" w:line="247" w:lineRule="auto"/>
        <w:rPr>
          <w:rFonts w:ascii="Arial" w:cs="Arial" w:eastAsia="Arial" w:hAnsi="Arial"/>
          <w:sz w:val="20"/>
          <w:szCs w:val="20"/>
          <w:color w:val="auto"/>
        </w:rPr>
      </w:pPr>
      <w:r>
        <w:rPr>
          <w:rFonts w:ascii="Arial" w:cs="Arial" w:eastAsia="Arial" w:hAnsi="Arial"/>
          <w:sz w:val="20"/>
          <w:szCs w:val="20"/>
          <w:color w:val="auto"/>
        </w:rPr>
        <w:t>An amendment to a Key Feature following the Approval Date will not have effect until such amendment has been approved by HM Revenue &amp; Customs under Schedule 4.</w:t>
      </w:r>
    </w:p>
    <w:p>
      <w:pPr>
        <w:spacing w:after="0" w:line="69" w:lineRule="exact"/>
        <w:rPr>
          <w:rFonts w:ascii="Arial" w:cs="Arial" w:eastAsia="Arial" w:hAnsi="Arial"/>
          <w:sz w:val="20"/>
          <w:szCs w:val="20"/>
          <w:color w:val="auto"/>
        </w:rPr>
      </w:pPr>
    </w:p>
    <w:p>
      <w:pPr>
        <w:ind w:left="500" w:hanging="492"/>
        <w:spacing w:after="0"/>
        <w:tabs>
          <w:tab w:leader="none" w:pos="5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Tax and social security withholding</w:t>
      </w:r>
    </w:p>
    <w:p>
      <w:pPr>
        <w:spacing w:after="0" w:line="253" w:lineRule="exact"/>
        <w:rPr>
          <w:sz w:val="20"/>
          <w:szCs w:val="20"/>
          <w:color w:val="auto"/>
        </w:rPr>
      </w:pPr>
    </w:p>
    <w:p>
      <w:pPr>
        <w:jc w:val="both"/>
        <w:ind w:left="1040" w:hanging="1039"/>
        <w:spacing w:after="0"/>
        <w:rPr>
          <w:sz w:val="20"/>
          <w:szCs w:val="20"/>
          <w:color w:val="auto"/>
        </w:rPr>
      </w:pPr>
      <w:r>
        <w:rPr>
          <w:rFonts w:ascii="Arial" w:cs="Arial" w:eastAsia="Arial" w:hAnsi="Arial"/>
          <w:sz w:val="20"/>
          <w:szCs w:val="20"/>
          <w:color w:val="auto"/>
        </w:rPr>
        <w:t>30.1Where, in relation to the exercise of an Option granted under the Sub-Plan Price Group or, if different, the Grantee’s employing company, is liable, or is in accordance with current practice believed to be liable, to account to any revenue or other authority for any sum in respect of any tax or social security liability of the Grantee, the Option may not be exercised unless the Grantee has beforehand paid to Price Group or such employing company an amount sufficient to discharge the liability. Alternatively, the Grantee may, by agreement with Price Group, enter into some other arrangement to ensure that such amount is available to it (for example, by authorising the sale of some or all of the Shares subject to his Option and the payment to Price Group or such employing company of the requisite amount out of the proceeds of sale). Where this is the case the Option shall not be treated as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9"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20"/>
          <w:szCs w:val="20"/>
          <w:color w:val="auto"/>
        </w:rPr>
        <w:t>exercised until Price Group determines that such arrangements are satisfactory to it.</w:t>
      </w:r>
    </w:p>
    <w:p>
      <w:pPr>
        <w:spacing w:after="0" w:line="243" w:lineRule="exact"/>
        <w:rPr>
          <w:sz w:val="20"/>
          <w:szCs w:val="20"/>
          <w:color w:val="auto"/>
        </w:rPr>
      </w:pPr>
    </w:p>
    <w:p>
      <w:pPr>
        <w:jc w:val="both"/>
        <w:ind w:left="620" w:hanging="620"/>
        <w:spacing w:after="0"/>
        <w:tabs>
          <w:tab w:leader="none" w:pos="600" w:val="left"/>
        </w:tabs>
        <w:rPr>
          <w:sz w:val="20"/>
          <w:szCs w:val="20"/>
          <w:color w:val="auto"/>
        </w:rPr>
      </w:pPr>
      <w:r>
        <w:rPr>
          <w:rFonts w:ascii="Arial" w:cs="Arial" w:eastAsia="Arial" w:hAnsi="Arial"/>
          <w:sz w:val="20"/>
          <w:szCs w:val="20"/>
          <w:color w:val="auto"/>
        </w:rPr>
        <w:t>30.2</w:t>
        <w:tab/>
        <w:t>Price Group may, at its discretion, impose requirements for the payment by the Grantee of all or any part of the employer’s National Insurance Contributions liability that may arise as a result of the exercise of his Option (“</w:t>
      </w:r>
      <w:r>
        <w:rPr>
          <w:rFonts w:ascii="Arial" w:cs="Arial" w:eastAsia="Arial" w:hAnsi="Arial"/>
          <w:sz w:val="20"/>
          <w:szCs w:val="20"/>
          <w:b w:val="1"/>
          <w:bCs w:val="1"/>
          <w:color w:val="auto"/>
        </w:rPr>
        <w:t>Employer’s NIC</w:t>
      </w:r>
      <w:r>
        <w:rPr>
          <w:rFonts w:ascii="Arial" w:cs="Arial" w:eastAsia="Arial" w:hAnsi="Arial"/>
          <w:sz w:val="20"/>
          <w:szCs w:val="20"/>
          <w:color w:val="auto"/>
        </w:rPr>
        <w:t>”). Such requirements may include in particular, but not by way of limitation, a determination that the Option may not be exercised unless the Grantee has beforehand paid to Price Group (or, if different, the Grantee’s employing company) an amount sufficient to discharge all or any part of the Employer’s NIC, as appropriate. Alternatively, the Grantee may, by agreement with Price Group enter into some other arrangement to ensure that such amount is available to them or it (for example, by authorising the sale of some or all of the Shares subject to his Option and the payment to Price Group of the requisite amount out of the proceeds of sale). Where this is the case the Option shall not be treated as exercised until Price Group determines that such arrangements are satisfactory to it.</w:t>
      </w:r>
    </w:p>
    <w:p>
      <w:pPr>
        <w:spacing w:after="0" w:line="226" w:lineRule="exact"/>
        <w:rPr>
          <w:sz w:val="20"/>
          <w:szCs w:val="20"/>
          <w:color w:val="auto"/>
        </w:rPr>
      </w:pPr>
    </w:p>
    <w:p>
      <w:pPr>
        <w:jc w:val="both"/>
        <w:ind w:left="620" w:hanging="620"/>
        <w:spacing w:after="0" w:line="242" w:lineRule="auto"/>
        <w:tabs>
          <w:tab w:leader="none" w:pos="60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20"/>
          <w:szCs w:val="20"/>
          <w:color w:val="auto"/>
        </w:rPr>
        <w:t>Price Group may require a Grantee to execute a copy of the Notice or some other document in order to bind himself contractually to any such arrangement as is referred to in rule 30.1 and/or 30.2 and return the executed document to Price Group by a specified date. Failure to return the executed document by the specified date being no more than 30 days after the Date of Grant shall cause the Option to lapse.</w:t>
      </w:r>
    </w:p>
    <w:p>
      <w:pPr>
        <w:spacing w:after="0" w:line="196"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Exercise of discretion by Administrator</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exercising any discretion which it may have under the Sub-Plan, the Administrator shall act fairly and reasonably.</w:t>
      </w:r>
    </w:p>
    <w:p>
      <w:pPr>
        <w:spacing w:after="0" w:line="205"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Recoupment Policy</w:t>
      </w:r>
    </w:p>
    <w:p>
      <w:pPr>
        <w:spacing w:after="0" w:line="253" w:lineRule="exact"/>
        <w:rPr>
          <w:sz w:val="20"/>
          <w:szCs w:val="20"/>
          <w:color w:val="auto"/>
        </w:rPr>
      </w:pPr>
    </w:p>
    <w:p>
      <w:pPr>
        <w:jc w:val="both"/>
        <w:ind w:left="620" w:firstLine="621"/>
        <w:spacing w:after="0" w:line="241" w:lineRule="auto"/>
        <w:rPr>
          <w:sz w:val="20"/>
          <w:szCs w:val="20"/>
          <w:color w:val="auto"/>
        </w:rPr>
      </w:pPr>
      <w:r>
        <w:rPr>
          <w:rFonts w:ascii="Arial" w:cs="Arial" w:eastAsia="Arial" w:hAnsi="Arial"/>
          <w:sz w:val="20"/>
          <w:szCs w:val="20"/>
          <w:color w:val="auto"/>
        </w:rPr>
        <w:t>In respect of the application of Price Group’s Recoupment Policy as set out in Section 16(g) of the Plan. Price Group will ensure that, in the event of there being a material restatement of Price Group’s accounts for a period (as confirmed by Price Group’s auditors), Price Group will act fairly and reasonably in determining that had the accounts been correctly stated in the first instance, then the Grantee would not have been granted an Option or would have been granted an Option in respect of fewer Shares, that the Option will lapse to that extent, unless Price Group determines otherwise.</w:t>
      </w:r>
    </w:p>
    <w:p>
      <w:pPr>
        <w:spacing w:after="0" w:line="19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Disapplication of certain provisions of the Plan</w:t>
      </w:r>
    </w:p>
    <w:p>
      <w:pPr>
        <w:spacing w:after="0" w:line="2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9"/>
          <w:szCs w:val="19"/>
          <w:color w:val="auto"/>
        </w:rPr>
        <w:t>The provisions of the Plan dealing with:</w:t>
      </w:r>
    </w:p>
    <w:p>
      <w:pPr>
        <w:spacing w:after="0" w:line="229" w:lineRule="exact"/>
        <w:rPr>
          <w:sz w:val="20"/>
          <w:szCs w:val="20"/>
          <w:color w:val="auto"/>
        </w:rPr>
      </w:pPr>
    </w:p>
    <w:p>
      <w:pPr>
        <w:ind w:left="1680" w:hanging="646"/>
        <w:spacing w:after="0"/>
        <w:tabs>
          <w:tab w:leader="none" w:pos="16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stock appreciation rights;</w:t>
      </w:r>
    </w:p>
    <w:p>
      <w:pPr>
        <w:spacing w:after="0" w:line="228" w:lineRule="exact"/>
        <w:rPr>
          <w:rFonts w:ascii="Arial" w:cs="Arial" w:eastAsia="Arial" w:hAnsi="Arial"/>
          <w:sz w:val="20"/>
          <w:szCs w:val="20"/>
          <w:color w:val="auto"/>
        </w:rPr>
      </w:pPr>
    </w:p>
    <w:p>
      <w:pPr>
        <w:ind w:left="1680" w:hanging="646"/>
        <w:spacing w:after="0"/>
        <w:tabs>
          <w:tab w:leader="none" w:pos="16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stock awards;</w:t>
      </w:r>
    </w:p>
    <w:p>
      <w:pPr>
        <w:ind w:left="1040"/>
        <w:spacing w:after="0"/>
        <w:rPr>
          <w:sz w:val="20"/>
          <w:szCs w:val="20"/>
          <w:color w:val="auto"/>
        </w:rPr>
      </w:pPr>
      <w:r>
        <w:rPr>
          <w:rFonts w:ascii="Arial" w:cs="Arial" w:eastAsia="Arial" w:hAnsi="Arial"/>
          <w:sz w:val="20"/>
          <w:szCs w:val="20"/>
          <w:color w:val="auto"/>
        </w:rPr>
        <w:t>•</w:t>
      </w:r>
    </w:p>
    <w:p>
      <w:pPr>
        <w:ind w:left="1360" w:hanging="326"/>
        <w:spacing w:after="0"/>
        <w:tabs>
          <w:tab w:leader="none" w:pos="1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stock units;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93" w:right="239" w:bottom="1440" w:gutter="0" w:footer="0" w:header="0"/>
        </w:sectPr>
      </w:pPr>
    </w:p>
    <w:bookmarkStart w:id="35" w:name="page36"/>
    <w:bookmarkEnd w:id="35"/>
    <w:p>
      <w:pPr>
        <w:ind w:left="1360" w:hanging="326"/>
        <w:spacing w:after="0"/>
        <w:tabs>
          <w:tab w:leader="none" w:pos="1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performance shares and performance units;</w:t>
      </w:r>
    </w:p>
    <w:p>
      <w:pPr>
        <w:spacing w:after="0" w:line="229" w:lineRule="exact"/>
        <w:rPr>
          <w:rFonts w:ascii="Arial" w:cs="Arial" w:eastAsia="Arial" w:hAnsi="Arial"/>
          <w:sz w:val="20"/>
          <w:szCs w:val="20"/>
          <w:color w:val="auto"/>
        </w:rPr>
      </w:pPr>
    </w:p>
    <w:p>
      <w:pPr>
        <w:ind w:left="1360" w:hanging="326"/>
        <w:spacing w:after="0"/>
        <w:tabs>
          <w:tab w:leader="none" w:pos="1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qualified performance-based awards;</w:t>
      </w:r>
    </w:p>
    <w:p>
      <w:pPr>
        <w:spacing w:after="0" w:line="229" w:lineRule="exact"/>
        <w:rPr>
          <w:rFonts w:ascii="Arial" w:cs="Arial" w:eastAsia="Arial" w:hAnsi="Arial"/>
          <w:sz w:val="20"/>
          <w:szCs w:val="20"/>
          <w:color w:val="auto"/>
        </w:rPr>
      </w:pPr>
    </w:p>
    <w:p>
      <w:pPr>
        <w:ind w:left="1360" w:hanging="326"/>
        <w:spacing w:after="0"/>
        <w:tabs>
          <w:tab w:leader="none" w:pos="1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Full Value Awards and the provisions contained in Section 7(b) of the Plan;</w:t>
      </w:r>
    </w:p>
    <w:p>
      <w:pPr>
        <w:spacing w:after="0" w:line="229" w:lineRule="exact"/>
        <w:rPr>
          <w:rFonts w:ascii="Arial" w:cs="Arial" w:eastAsia="Arial" w:hAnsi="Arial"/>
          <w:sz w:val="20"/>
          <w:szCs w:val="20"/>
          <w:color w:val="auto"/>
        </w:rPr>
      </w:pPr>
    </w:p>
    <w:p>
      <w:pPr>
        <w:ind w:left="1380" w:hanging="346"/>
        <w:spacing w:after="0" w:line="247" w:lineRule="auto"/>
        <w:tabs>
          <w:tab w:leader="none" w:pos="1362"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incentive stock options (unless an Option is also designated to be an incentive stock option at the Date of Grant under Clause 8(c) of the Terms relating to Option grants under the Sub-Plan);</w:t>
      </w:r>
    </w:p>
    <w:p>
      <w:pPr>
        <w:spacing w:after="0" w:line="215" w:lineRule="exact"/>
        <w:rPr>
          <w:rFonts w:ascii="Arial" w:cs="Arial" w:eastAsia="Arial" w:hAnsi="Arial"/>
          <w:sz w:val="20"/>
          <w:szCs w:val="20"/>
          <w:color w:val="auto"/>
        </w:rPr>
      </w:pPr>
    </w:p>
    <w:p>
      <w:pPr>
        <w:ind w:left="1360" w:hanging="326"/>
        <w:spacing w:after="0"/>
        <w:tabs>
          <w:tab w:leader="none" w:pos="1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dividend reinvestment and dividend equivalents;</w:t>
      </w:r>
    </w:p>
    <w:p>
      <w:pPr>
        <w:spacing w:after="0" w:line="229" w:lineRule="exact"/>
        <w:rPr>
          <w:rFonts w:ascii="Arial" w:cs="Arial" w:eastAsia="Arial" w:hAnsi="Arial"/>
          <w:sz w:val="20"/>
          <w:szCs w:val="20"/>
          <w:color w:val="auto"/>
        </w:rPr>
      </w:pPr>
    </w:p>
    <w:p>
      <w:pPr>
        <w:ind w:left="1380" w:right="20" w:hanging="346"/>
        <w:spacing w:after="0" w:line="247" w:lineRule="auto"/>
        <w:tabs>
          <w:tab w:leader="none" w:pos="1362" w:val="left"/>
        </w:tabs>
        <w:numPr>
          <w:ilvl w:val="0"/>
          <w:numId w:val="31"/>
        </w:numPr>
        <w:rPr>
          <w:rFonts w:ascii="Arial" w:cs="Arial" w:eastAsia="Arial" w:hAnsi="Arial"/>
          <w:sz w:val="20"/>
          <w:szCs w:val="20"/>
          <w:color w:val="auto"/>
        </w:rPr>
      </w:pPr>
      <w:r>
        <w:rPr>
          <w:rFonts w:ascii="Arial" w:cs="Arial" w:eastAsia="Arial" w:hAnsi="Arial"/>
          <w:sz w:val="20"/>
          <w:szCs w:val="20"/>
          <w:color w:val="auto"/>
        </w:rPr>
        <w:t>awards in substitution for stock options granted by other entities, as outlined in Sections 11(b) and (v) of the Plan; and</w:t>
      </w:r>
    </w:p>
    <w:p>
      <w:pPr>
        <w:spacing w:after="0" w:line="215" w:lineRule="exact"/>
        <w:rPr>
          <w:rFonts w:ascii="Arial" w:cs="Arial" w:eastAsia="Arial" w:hAnsi="Arial"/>
          <w:sz w:val="20"/>
          <w:szCs w:val="20"/>
          <w:color w:val="auto"/>
        </w:rPr>
      </w:pPr>
    </w:p>
    <w:p>
      <w:pPr>
        <w:ind w:left="1360" w:hanging="326"/>
        <w:spacing w:after="0"/>
        <w:tabs>
          <w:tab w:leader="none" w:pos="1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Substitution and assumption of awards in Mergers and Acquisitions as provided for in Section 12 of the Plan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shall not form part of, and no such rights may be granted under, the Sub-Plan.</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9"/>
          <w:szCs w:val="19"/>
          <w:color w:val="auto"/>
        </w:rPr>
        <w:t>The provisions providing authority of the Administrator to:-</w:t>
      </w:r>
    </w:p>
    <w:p>
      <w:pPr>
        <w:spacing w:after="0" w:line="241" w:lineRule="exact"/>
        <w:rPr>
          <w:sz w:val="20"/>
          <w:szCs w:val="20"/>
          <w:color w:val="auto"/>
        </w:rPr>
      </w:pPr>
    </w:p>
    <w:p>
      <w:pPr>
        <w:jc w:val="both"/>
        <w:ind w:left="1280" w:right="320"/>
        <w:spacing w:after="0" w:line="243" w:lineRule="auto"/>
        <w:rPr>
          <w:sz w:val="20"/>
          <w:szCs w:val="20"/>
          <w:color w:val="auto"/>
        </w:rPr>
      </w:pPr>
      <w:r>
        <w:rPr>
          <w:rFonts w:ascii="Arial" w:cs="Arial" w:eastAsia="Arial" w:hAnsi="Arial"/>
          <w:sz w:val="20"/>
          <w:szCs w:val="20"/>
          <w:color w:val="auto"/>
        </w:rPr>
        <w:t>accelerate or otherwise change the time in which an Option may be exercised or becomes payable and waive or accelerate the lapse, in whole or in part, of any restriction or condition with respect to such Option, as outlined in Sections 4(b)(v) and (vi) and 14 of the Plan;</w:t>
      </w:r>
    </w:p>
    <w:p>
      <w:pPr>
        <w:spacing w:after="0" w:line="220" w:lineRule="exact"/>
        <w:rPr>
          <w:sz w:val="20"/>
          <w:szCs w:val="20"/>
          <w:color w:val="auto"/>
        </w:rPr>
      </w:pPr>
    </w:p>
    <w:p>
      <w:pPr>
        <w:ind w:left="1360" w:hanging="326"/>
        <w:spacing w:after="0"/>
        <w:tabs>
          <w:tab w:leader="none" w:pos="1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determine settlement of the Option in cash or shares under 4(b)(vii) of the Plan;</w:t>
      </w:r>
    </w:p>
    <w:p>
      <w:pPr>
        <w:spacing w:after="0" w:line="229" w:lineRule="exact"/>
        <w:rPr>
          <w:rFonts w:ascii="Arial" w:cs="Arial" w:eastAsia="Arial" w:hAnsi="Arial"/>
          <w:sz w:val="20"/>
          <w:szCs w:val="20"/>
          <w:color w:val="auto"/>
        </w:rPr>
      </w:pPr>
    </w:p>
    <w:p>
      <w:pPr>
        <w:ind w:left="1360" w:right="800" w:hanging="326"/>
        <w:spacing w:after="0" w:line="239" w:lineRule="auto"/>
        <w:tabs>
          <w:tab w:leader="none" w:pos="1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make any determination in respect of Termination of Service under Section 7c (iii) of the Plan other than is provided for in the Terms;</w:t>
      </w:r>
    </w:p>
    <w:p>
      <w:pPr>
        <w:spacing w:after="0" w:line="1" w:lineRule="exact"/>
        <w:rPr>
          <w:rFonts w:ascii="Arial" w:cs="Arial" w:eastAsia="Arial" w:hAnsi="Arial"/>
          <w:sz w:val="20"/>
          <w:szCs w:val="20"/>
          <w:color w:val="auto"/>
        </w:rPr>
      </w:pPr>
    </w:p>
    <w:p>
      <w:pPr>
        <w:ind w:left="1360" w:hanging="326"/>
        <w:spacing w:after="0"/>
        <w:tabs>
          <w:tab w:leader="none" w:pos="1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adjust the performance goals as outlined in section 10(c) of the Plan; and</w:t>
      </w:r>
    </w:p>
    <w:p>
      <w:pPr>
        <w:ind w:left="1360" w:hanging="326"/>
        <w:spacing w:after="0"/>
        <w:tabs>
          <w:tab w:leader="none" w:pos="1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unilaterally amend the terms of any Award as outlined in section 15(c) of the Plan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shall not apply to Options.</w:t>
      </w:r>
    </w:p>
    <w:p>
      <w:pPr>
        <w:spacing w:after="0"/>
        <w:tabs>
          <w:tab w:leader="none" w:pos="600" w:val="left"/>
        </w:tabs>
        <w:rPr>
          <w:sz w:val="20"/>
          <w:szCs w:val="20"/>
          <w:color w:val="auto"/>
        </w:rPr>
      </w:pPr>
      <w:r>
        <w:rPr>
          <w:rFonts w:ascii="Arial" w:cs="Arial" w:eastAsia="Arial" w:hAnsi="Arial"/>
          <w:sz w:val="20"/>
          <w:szCs w:val="20"/>
          <w:color w:val="auto"/>
        </w:rPr>
        <w:t>33.3</w:t>
      </w:r>
      <w:r>
        <w:rPr>
          <w:sz w:val="20"/>
          <w:szCs w:val="20"/>
          <w:color w:val="auto"/>
        </w:rPr>
        <w:tab/>
      </w:r>
      <w:r>
        <w:rPr>
          <w:rFonts w:ascii="Arial" w:cs="Arial" w:eastAsia="Arial" w:hAnsi="Arial"/>
          <w:sz w:val="19"/>
          <w:szCs w:val="19"/>
          <w:color w:val="auto"/>
        </w:rPr>
        <w:t>for the avoidance of doubt Reload Options shall not form part of, and no such rights will be granted under, the Sub-Plan.</w:t>
      </w:r>
    </w:p>
    <w:p>
      <w:pPr>
        <w:ind w:left="620" w:right="60" w:hanging="620"/>
        <w:spacing w:after="0" w:line="243" w:lineRule="auto"/>
        <w:tabs>
          <w:tab w:leader="none" w:pos="600" w:val="left"/>
        </w:tabs>
        <w:rPr>
          <w:sz w:val="20"/>
          <w:szCs w:val="20"/>
          <w:color w:val="auto"/>
        </w:rPr>
      </w:pPr>
      <w:r>
        <w:rPr>
          <w:rFonts w:ascii="Arial" w:cs="Arial" w:eastAsia="Arial" w:hAnsi="Arial"/>
          <w:sz w:val="20"/>
          <w:szCs w:val="20"/>
          <w:color w:val="auto"/>
        </w:rPr>
        <w:t>33.4</w:t>
        <w:tab/>
        <w:t>In Section 4(b)(vii) of the Plan the words “and whether, to what extent and under what circumstances cash or shares of Common Stock payable with respect to an Award shall be deferred either automatically or at the election of the Participant” shall be disapplied and of no effect.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9" w:right="239" w:bottom="1440" w:gutter="0" w:footer="0" w:header="0"/>
        </w:sectPr>
      </w:pPr>
    </w:p>
    <w:bookmarkStart w:id="36" w:name="page37"/>
    <w:bookmarkEnd w:id="36"/>
    <w:p>
      <w:pPr>
        <w:ind w:left="2620"/>
        <w:spacing w:after="0"/>
        <w:rPr>
          <w:sz w:val="20"/>
          <w:szCs w:val="20"/>
          <w:color w:val="auto"/>
        </w:rPr>
      </w:pPr>
      <w:r>
        <w:rPr>
          <w:rFonts w:ascii="Arial" w:cs="Arial" w:eastAsia="Arial" w:hAnsi="Arial"/>
          <w:sz w:val="20"/>
          <w:szCs w:val="20"/>
          <w:b w:val="1"/>
          <w:bCs w:val="1"/>
          <w:color w:val="auto"/>
        </w:rPr>
        <w:t>T. ROWE PRICE GROUP, INC. 2012 LONG-TERM INCENTIVE PLAN</w:t>
      </w:r>
    </w:p>
    <w:p>
      <w:pPr>
        <w:spacing w:after="0" w:line="132"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HM REVENUE AND CUSTOMS APPROVED SUB-PLAN FOR THE UK</w:t>
      </w:r>
    </w:p>
    <w:p>
      <w:pPr>
        <w:spacing w:after="0" w:line="337"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________________</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STATEMENT OF ADDITIONAL TERMS</w:t>
      </w:r>
    </w:p>
    <w:p>
      <w:pPr>
        <w:jc w:val="center"/>
        <w:spacing w:after="0"/>
        <w:rPr>
          <w:sz w:val="20"/>
          <w:szCs w:val="20"/>
          <w:color w:val="auto"/>
        </w:rPr>
      </w:pPr>
      <w:r>
        <w:rPr>
          <w:rFonts w:ascii="Arial" w:cs="Arial" w:eastAsia="Arial" w:hAnsi="Arial"/>
          <w:sz w:val="20"/>
          <w:szCs w:val="20"/>
          <w:color w:val="auto"/>
        </w:rPr>
        <w:t>REGARDING AWARDS OF STOCK OPTIONS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version2C</w:t>
      </w:r>
      <w:r>
        <w:rPr>
          <w:rFonts w:ascii="Arial" w:cs="Arial" w:eastAsia="Arial" w:hAnsi="Arial"/>
          <w:sz w:val="18"/>
          <w:szCs w:val="18"/>
          <w:color w:val="auto"/>
        </w:rPr>
        <w:t>)</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___________________</w:t>
      </w:r>
    </w:p>
    <w:p>
      <w:pPr>
        <w:spacing w:after="0" w:line="200" w:lineRule="exact"/>
        <w:rPr>
          <w:sz w:val="20"/>
          <w:szCs w:val="20"/>
          <w:color w:val="auto"/>
        </w:rPr>
      </w:pPr>
    </w:p>
    <w:p>
      <w:pPr>
        <w:spacing w:after="0" w:line="235"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This Statement of Additional Terms Regarding Awards of Stock Options (the “</w:t>
      </w:r>
      <w:r>
        <w:rPr>
          <w:rFonts w:ascii="Arial" w:cs="Arial" w:eastAsia="Arial" w:hAnsi="Arial"/>
          <w:sz w:val="20"/>
          <w:szCs w:val="20"/>
          <w:b w:val="1"/>
          <w:bCs w:val="1"/>
          <w:i w:val="1"/>
          <w:iCs w:val="1"/>
          <w:color w:val="auto"/>
        </w:rPr>
        <w:t>Terms</w:t>
      </w:r>
      <w:r>
        <w:rPr>
          <w:rFonts w:ascii="Arial" w:cs="Arial" w:eastAsia="Arial" w:hAnsi="Arial"/>
          <w:sz w:val="20"/>
          <w:szCs w:val="20"/>
          <w:color w:val="auto"/>
        </w:rPr>
        <w:t>”) and all of the provisions of the HM Revenue and Customs Approved Sub-Plan for the UK (together referred to as the “</w:t>
      </w:r>
      <w:r>
        <w:rPr>
          <w:rFonts w:ascii="Arial" w:cs="Arial" w:eastAsia="Arial" w:hAnsi="Arial"/>
          <w:sz w:val="20"/>
          <w:szCs w:val="20"/>
          <w:b w:val="1"/>
          <w:bCs w:val="1"/>
          <w:i w:val="1"/>
          <w:iCs w:val="1"/>
          <w:color w:val="auto"/>
        </w:rPr>
        <w:t>Sub-Plan</w:t>
      </w:r>
      <w:r>
        <w:rPr>
          <w:rFonts w:ascii="Arial" w:cs="Arial" w:eastAsia="Arial" w:hAnsi="Arial"/>
          <w:sz w:val="20"/>
          <w:szCs w:val="20"/>
          <w:color w:val="auto"/>
        </w:rPr>
        <w:t>”) under the provisions of the T. Rowe Price Group, Inc. 2012 Long-Term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along with all provisions of the Plan as are not otherwise disapplied by the Sub-Plan, are incorporated into your stock option award, the specifics of which are described on the “Notice of Grant of Stock Option Award” (the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that you received. Once you have accepted the Notice in accordance with the instructions set forth thereon,, the Plan, the Sub-Plan and the Notice, together, constitute a binding and enforceable contract respecting your stock option award. That contract is referred to in this document as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w:t>
      </w:r>
    </w:p>
    <w:p>
      <w:pPr>
        <w:spacing w:after="0" w:line="217" w:lineRule="exact"/>
        <w:rPr>
          <w:sz w:val="20"/>
          <w:szCs w:val="20"/>
          <w:color w:val="auto"/>
        </w:rPr>
      </w:pPr>
    </w:p>
    <w:p>
      <w:pPr>
        <w:jc w:val="both"/>
        <w:ind w:right="320" w:firstLine="656"/>
        <w:spacing w:after="0" w:line="243" w:lineRule="auto"/>
        <w:tabs>
          <w:tab w:leader="none" w:pos="1033"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Terminology</w:t>
      </w:r>
      <w:r>
        <w:rPr>
          <w:rFonts w:ascii="Arial" w:cs="Arial" w:eastAsia="Arial" w:hAnsi="Arial"/>
          <w:sz w:val="20"/>
          <w:szCs w:val="20"/>
          <w:color w:val="auto"/>
        </w:rPr>
        <w:t>. Words and expressions not defined in the Terms have the same meanings as are given to them in the Plan and/or the Sub-Plan. Further capitalized words and phrases used in these Terms are defined in the Glossary at the end of this document or the first place such word or phrase appears in this document.</w:t>
      </w:r>
    </w:p>
    <w:p>
      <w:pPr>
        <w:spacing w:after="0" w:line="219" w:lineRule="exact"/>
        <w:rPr>
          <w:rFonts w:ascii="Arial" w:cs="Arial" w:eastAsia="Arial" w:hAnsi="Arial"/>
          <w:sz w:val="20"/>
          <w:szCs w:val="20"/>
          <w:color w:val="auto"/>
        </w:rPr>
      </w:pPr>
    </w:p>
    <w:p>
      <w:pPr>
        <w:ind w:left="1040" w:hanging="384"/>
        <w:spacing w:after="0"/>
        <w:tabs>
          <w:tab w:leader="none" w:pos="104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40" w:firstLine="1305"/>
        <w:spacing w:after="0" w:line="241" w:lineRule="auto"/>
        <w:tabs>
          <w:tab w:leader="none" w:pos="1758"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Vested Status upon Grant Date</w:t>
      </w:r>
      <w:r>
        <w:rPr>
          <w:rFonts w:ascii="Arial" w:cs="Arial" w:eastAsia="Arial" w:hAnsi="Arial"/>
          <w:sz w:val="20"/>
          <w:szCs w:val="20"/>
          <w:color w:val="auto"/>
        </w:rPr>
        <w:t>. All of the Options are non vested and forfeitable as of the Grant Date. For clarity, as used in this Agreement, the term “vest” means that the Options become exercisable for the purchase of Common Stock. The fact that an Option has become vested does not mean or otherwise indicate that you have an unconditional or non forfeitable right to such Option. A vested Option remains subject to the terms, conditions and forfeiture provisions provided for in the Plan, the Sub-Plan and in this Agreement.</w:t>
      </w:r>
    </w:p>
    <w:p>
      <w:pPr>
        <w:spacing w:after="0" w:line="222" w:lineRule="exact"/>
        <w:rPr>
          <w:rFonts w:ascii="Arial" w:cs="Arial" w:eastAsia="Arial" w:hAnsi="Arial"/>
          <w:sz w:val="20"/>
          <w:szCs w:val="20"/>
          <w:color w:val="auto"/>
        </w:rPr>
      </w:pPr>
    </w:p>
    <w:p>
      <w:pPr>
        <w:ind w:right="360" w:firstLine="1305"/>
        <w:spacing w:after="0" w:line="243" w:lineRule="auto"/>
        <w:tabs>
          <w:tab w:leader="none" w:pos="1758"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So long as your Service is continuous from the Grant Date through the applicable date upon which vesting is scheduled to occur, the Options will vest and become exercisable on the vesting dates as set forth in the correlating Notice.</w:t>
      </w:r>
    </w:p>
    <w:p>
      <w:pPr>
        <w:spacing w:after="0" w:line="219" w:lineRule="exact"/>
        <w:rPr>
          <w:rFonts w:ascii="Arial" w:cs="Arial" w:eastAsia="Arial" w:hAnsi="Arial"/>
          <w:sz w:val="20"/>
          <w:szCs w:val="20"/>
          <w:color w:val="auto"/>
        </w:rPr>
      </w:pPr>
    </w:p>
    <w:p>
      <w:pPr>
        <w:ind w:left="1760" w:hanging="455"/>
        <w:spacing w:after="0"/>
        <w:tabs>
          <w:tab w:leader="none" w:pos="1760"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Post-employment Vesting Continuation</w:t>
      </w:r>
      <w:r>
        <w:rPr>
          <w:rFonts w:ascii="Arial" w:cs="Arial" w:eastAsia="Arial" w:hAnsi="Arial"/>
          <w:sz w:val="20"/>
          <w:szCs w:val="20"/>
          <w:color w:val="auto"/>
        </w:rPr>
        <w:t>.</w:t>
      </w:r>
    </w:p>
    <w:p>
      <w:pPr>
        <w:spacing w:after="0" w:line="229" w:lineRule="exact"/>
        <w:rPr>
          <w:sz w:val="20"/>
          <w:szCs w:val="20"/>
          <w:color w:val="auto"/>
        </w:rPr>
      </w:pPr>
    </w:p>
    <w:p>
      <w:pPr>
        <w:ind w:left="660" w:right="160" w:firstLine="645"/>
        <w:spacing w:after="0" w:line="242" w:lineRule="auto"/>
        <w:tabs>
          <w:tab w:leader="none" w:pos="1704"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as of the date on which your Termination of Service occurs, you have at least 35 years of Credited Service and at least ten years of that Credited Service is attributable to Service with the Company (as determined by the Committee), including Service with any successor to the Company, then, except as otherwise provided in this Agreement, the then-unvested Options that have not been previously forfeited and which</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20"/>
          </w:cols>
          <w:pgMar w:left="240" w:top="571" w:right="239" w:bottom="1440" w:gutter="0" w:footer="0" w:header="0"/>
        </w:sectPr>
      </w:pPr>
    </w:p>
    <w:bookmarkStart w:id="37" w:name="page38"/>
    <w:bookmarkEnd w:id="37"/>
    <w:p>
      <w:pPr>
        <w:jc w:val="both"/>
        <w:ind w:left="660" w:right="180"/>
        <w:spacing w:after="0" w:line="243" w:lineRule="auto"/>
        <w:rPr>
          <w:sz w:val="20"/>
          <w:szCs w:val="20"/>
          <w:color w:val="auto"/>
        </w:rPr>
      </w:pPr>
      <w:r>
        <w:rPr>
          <w:rFonts w:ascii="Arial" w:cs="Arial" w:eastAsia="Arial" w:hAnsi="Arial"/>
          <w:sz w:val="20"/>
          <w:szCs w:val="20"/>
          <w:color w:val="auto"/>
        </w:rPr>
        <w:t>are scheduled to vest within the 36-month period immediately following your Termination of Service will vest and become exercisable on their scheduled vesting dates set forth in the correlating Notice notwithstanding the fact that your Service has terminated.</w:t>
      </w:r>
    </w:p>
    <w:p>
      <w:pPr>
        <w:spacing w:after="0" w:line="220" w:lineRule="exact"/>
        <w:rPr>
          <w:sz w:val="20"/>
          <w:szCs w:val="20"/>
          <w:color w:val="auto"/>
        </w:rPr>
      </w:pPr>
    </w:p>
    <w:p>
      <w:pPr>
        <w:jc w:val="both"/>
        <w:ind w:left="660" w:right="220" w:firstLine="645"/>
        <w:spacing w:after="0" w:line="243" w:lineRule="auto"/>
        <w:tabs>
          <w:tab w:leader="none" w:pos="17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Notwithstanding the provisions of Section 2(c)(i) to the contrary, , your unvested Options will be immediately forfeited for no consideration, no further vesting will accrue and no shares of Common Stock will be delivered in respect thereof, if you breach any of the restrictive covenants set forth in Section 6.</w:t>
      </w:r>
    </w:p>
    <w:p>
      <w:pPr>
        <w:spacing w:after="0" w:line="220" w:lineRule="exact"/>
        <w:rPr>
          <w:sz w:val="20"/>
          <w:szCs w:val="20"/>
          <w:color w:val="auto"/>
        </w:rPr>
      </w:pPr>
    </w:p>
    <w:p>
      <w:pPr>
        <w:ind w:right="200" w:firstLine="1305"/>
        <w:spacing w:after="0" w:line="272" w:lineRule="auto"/>
        <w:tabs>
          <w:tab w:leader="none" w:pos="1758"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Vesting upon Death or Disability</w:t>
      </w:r>
      <w:r>
        <w:rPr>
          <w:rFonts w:ascii="Arial" w:cs="Arial" w:eastAsia="Arial" w:hAnsi="Arial"/>
          <w:sz w:val="19"/>
          <w:szCs w:val="19"/>
          <w:color w:val="auto"/>
        </w:rPr>
        <w:t>. All of the Options that have not already vested or been previously forfeited will vest and become exercisable upon your death or Termination of Service due to your Total and Permanent Disability.</w:t>
      </w:r>
    </w:p>
    <w:p>
      <w:pPr>
        <w:spacing w:after="0" w:line="193" w:lineRule="exact"/>
        <w:rPr>
          <w:rFonts w:ascii="Arial" w:cs="Arial" w:eastAsia="Arial" w:hAnsi="Arial"/>
          <w:sz w:val="19"/>
          <w:szCs w:val="19"/>
          <w:color w:val="auto"/>
        </w:rPr>
      </w:pPr>
    </w:p>
    <w:p>
      <w:pPr>
        <w:ind w:right="400" w:firstLine="1305"/>
        <w:spacing w:after="0" w:line="241" w:lineRule="auto"/>
        <w:tabs>
          <w:tab w:leader="none" w:pos="1758"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Double-trigger Vesting</w:t>
      </w:r>
      <w:r>
        <w:rPr>
          <w:rFonts w:ascii="Arial" w:cs="Arial" w:eastAsia="Arial" w:hAnsi="Arial"/>
          <w:sz w:val="20"/>
          <w:szCs w:val="20"/>
          <w:color w:val="auto"/>
        </w:rPr>
        <w:t>.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of the Options that have not already vested or been previously forfeited or terminated in connection with the Change in Control will vest and become exercisable upon such Termination of Service.</w:t>
      </w:r>
    </w:p>
    <w:p>
      <w:pPr>
        <w:spacing w:after="0" w:line="222" w:lineRule="exact"/>
        <w:rPr>
          <w:rFonts w:ascii="Arial" w:cs="Arial" w:eastAsia="Arial" w:hAnsi="Arial"/>
          <w:sz w:val="20"/>
          <w:szCs w:val="20"/>
          <w:color w:val="auto"/>
        </w:rPr>
      </w:pPr>
    </w:p>
    <w:p>
      <w:pPr>
        <w:ind w:left="1040" w:hanging="384"/>
        <w:spacing w:after="0"/>
        <w:tabs>
          <w:tab w:leader="none" w:pos="104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Exercise of Options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0" w:firstLine="1305"/>
        <w:spacing w:after="0" w:line="262" w:lineRule="auto"/>
        <w:tabs>
          <w:tab w:leader="none" w:pos="1758"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Exercisability</w:t>
      </w:r>
      <w:r>
        <w:rPr>
          <w:rFonts w:ascii="Arial" w:cs="Arial" w:eastAsia="Arial" w:hAnsi="Arial"/>
          <w:sz w:val="19"/>
          <w:szCs w:val="19"/>
          <w:color w:val="auto"/>
        </w:rPr>
        <w:t>. None of the Options are exercisable as of the Grant Date. The Options will become exercisable in installments in accordance with the Vesting Schedule set forth in the correlating Notice, so long as you are in the continuous Service of the Company from the Grant Date through the applicable vesting dates or as otherwise provided in Section 2 above.</w:t>
      </w:r>
    </w:p>
    <w:p>
      <w:pPr>
        <w:spacing w:after="0" w:line="202" w:lineRule="exact"/>
        <w:rPr>
          <w:rFonts w:ascii="Arial" w:cs="Arial" w:eastAsia="Arial" w:hAnsi="Arial"/>
          <w:sz w:val="19"/>
          <w:szCs w:val="19"/>
          <w:color w:val="auto"/>
        </w:rPr>
      </w:pPr>
    </w:p>
    <w:p>
      <w:pPr>
        <w:ind w:left="1760" w:hanging="455"/>
        <w:spacing w:after="0"/>
        <w:tabs>
          <w:tab w:leader="none" w:pos="1760"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Option Exercise Rights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right="60" w:firstLine="1293"/>
        <w:spacing w:after="0" w:line="241" w:lineRule="auto"/>
        <w:tabs>
          <w:tab w:leader="none" w:pos="2349" w:val="left"/>
        </w:tabs>
        <w:numPr>
          <w:ilvl w:val="2"/>
          <w:numId w:val="37"/>
        </w:numPr>
        <w:rPr>
          <w:rFonts w:ascii="Arial" w:cs="Arial" w:eastAsia="Arial" w:hAnsi="Arial"/>
          <w:sz w:val="20"/>
          <w:szCs w:val="20"/>
          <w:color w:val="auto"/>
        </w:rPr>
      </w:pPr>
      <w:r>
        <w:rPr>
          <w:rFonts w:ascii="Arial" w:cs="Arial" w:eastAsia="Arial" w:hAnsi="Arial"/>
          <w:sz w:val="20"/>
          <w:szCs w:val="20"/>
          <w:color w:val="auto"/>
        </w:rPr>
        <w:t>You may exercise the Options, to the extent they have become exercisable, on any business day on or before the Expiration Date or the earlier termination of the Options, unless otherwise provided under applicable law. For this purpose, a business day is any day, other than a weekend or U.S. federal holiday, on which Price Group’s principal executive offices (in Baltimore, Maryland -- Pratt Street) are open for business. You are not required to exercise your Options when they vest. Vested Options will accumulate and be exercisable by you, in whole or in part, at any time before the Options expire or are otherwise forfeited or terminated.</w:t>
      </w:r>
    </w:p>
    <w:p>
      <w:pPr>
        <w:spacing w:after="0" w:line="221" w:lineRule="exact"/>
        <w:rPr>
          <w:rFonts w:ascii="Arial" w:cs="Arial" w:eastAsia="Arial" w:hAnsi="Arial"/>
          <w:sz w:val="20"/>
          <w:szCs w:val="20"/>
          <w:color w:val="auto"/>
        </w:rPr>
      </w:pPr>
    </w:p>
    <w:p>
      <w:pPr>
        <w:ind w:left="660" w:firstLine="1293"/>
        <w:spacing w:after="0"/>
        <w:tabs>
          <w:tab w:leader="none" w:pos="2396" w:val="left"/>
        </w:tabs>
        <w:numPr>
          <w:ilvl w:val="2"/>
          <w:numId w:val="37"/>
        </w:numPr>
        <w:rPr>
          <w:rFonts w:ascii="Arial" w:cs="Arial" w:eastAsia="Arial" w:hAnsi="Arial"/>
          <w:sz w:val="20"/>
          <w:szCs w:val="20"/>
          <w:color w:val="auto"/>
        </w:rPr>
      </w:pPr>
      <w:r>
        <w:rPr>
          <w:rFonts w:ascii="Arial" w:cs="Arial" w:eastAsia="Arial" w:hAnsi="Arial"/>
          <w:sz w:val="20"/>
          <w:szCs w:val="20"/>
          <w:color w:val="auto"/>
        </w:rPr>
        <w:t>Notwithstanding the foregoing, if at any time the Committee determines that the delivery of Common Stock under the Plan, the Sub-Plan or this Agreement is or may be unlawful under the laws of any applicable jurisdiction, or federal, state or foreign (non-United States) securities laws, your right to exercise the Options or receive Common Stock pursuant to the Options will be suspended until the Committee determines that such delivery is lawful. Likewise, if at any time the Committee determines that the delivery of Common Stock under the Plan, the Sub-Plan or this Agreement is or may violate the rules of the national securities exchange on which the Common Stock is then listed for trade, your right to exercise the Options or receive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380"/>
          </w:cols>
          <w:pgMar w:left="240" w:top="595" w:right="279" w:bottom="1440" w:gutter="0" w:footer="0" w:header="0"/>
        </w:sectPr>
      </w:pPr>
    </w:p>
    <w:bookmarkStart w:id="38" w:name="page39"/>
    <w:bookmarkEnd w:id="38"/>
    <w:p>
      <w:pPr>
        <w:ind w:left="660" w:right="100"/>
        <w:spacing w:after="0" w:line="243" w:lineRule="auto"/>
        <w:rPr>
          <w:sz w:val="20"/>
          <w:szCs w:val="20"/>
          <w:color w:val="auto"/>
        </w:rPr>
      </w:pPr>
      <w:r>
        <w:rPr>
          <w:rFonts w:ascii="Arial" w:cs="Arial" w:eastAsia="Arial" w:hAnsi="Arial"/>
          <w:sz w:val="20"/>
          <w:szCs w:val="20"/>
          <w:color w:val="auto"/>
        </w:rPr>
        <w:t>Common Stock pursuant to the Options will be suspended until the Committee determines that such exercise or delivery would not violate such rules. Any suspension of your right to exercise the Options under this paragraph will not extend the Expiration Date of the Options and your Options could expire unexercisable during such a suspension.</w:t>
      </w:r>
    </w:p>
    <w:p>
      <w:pPr>
        <w:spacing w:after="0" w:line="220" w:lineRule="exact"/>
        <w:rPr>
          <w:sz w:val="20"/>
          <w:szCs w:val="20"/>
          <w:color w:val="auto"/>
        </w:rPr>
      </w:pPr>
    </w:p>
    <w:p>
      <w:pPr>
        <w:jc w:val="both"/>
        <w:ind w:left="660" w:right="60" w:firstLine="1293"/>
        <w:spacing w:after="0" w:line="243" w:lineRule="auto"/>
        <w:tabs>
          <w:tab w:leader="none" w:pos="2440" w:val="left"/>
        </w:tabs>
        <w:numPr>
          <w:ilvl w:val="2"/>
          <w:numId w:val="38"/>
        </w:numPr>
        <w:rPr>
          <w:rFonts w:ascii="Arial" w:cs="Arial" w:eastAsia="Arial" w:hAnsi="Arial"/>
          <w:sz w:val="20"/>
          <w:szCs w:val="20"/>
          <w:color w:val="auto"/>
        </w:rPr>
      </w:pPr>
      <w:r>
        <w:rPr>
          <w:rFonts w:ascii="Arial" w:cs="Arial" w:eastAsia="Arial" w:hAnsi="Arial"/>
          <w:sz w:val="20"/>
          <w:szCs w:val="20"/>
          <w:color w:val="auto"/>
        </w:rPr>
        <w:t>Section 4 below describes certain limitations on exercise of the Options that apply in the event of your death, Total and Permanent Disability, or Termination of Service which limitations could terminate your right to exercise the Options earlier than the Expiration Date.</w:t>
      </w:r>
    </w:p>
    <w:p>
      <w:pPr>
        <w:spacing w:after="0" w:line="219" w:lineRule="exact"/>
        <w:rPr>
          <w:rFonts w:ascii="Arial" w:cs="Arial" w:eastAsia="Arial" w:hAnsi="Arial"/>
          <w:sz w:val="20"/>
          <w:szCs w:val="20"/>
          <w:color w:val="auto"/>
        </w:rPr>
      </w:pPr>
    </w:p>
    <w:p>
      <w:pPr>
        <w:ind w:left="660" w:right="480" w:firstLine="1293"/>
        <w:spacing w:after="0" w:line="247" w:lineRule="auto"/>
        <w:tabs>
          <w:tab w:leader="none" w:pos="2448" w:val="left"/>
        </w:tabs>
        <w:numPr>
          <w:ilvl w:val="2"/>
          <w:numId w:val="38"/>
        </w:numPr>
        <w:rPr>
          <w:rFonts w:ascii="Arial" w:cs="Arial" w:eastAsia="Arial" w:hAnsi="Arial"/>
          <w:sz w:val="20"/>
          <w:szCs w:val="20"/>
          <w:color w:val="auto"/>
        </w:rPr>
      </w:pPr>
      <w:r>
        <w:rPr>
          <w:rFonts w:ascii="Arial" w:cs="Arial" w:eastAsia="Arial" w:hAnsi="Arial"/>
          <w:sz w:val="20"/>
          <w:szCs w:val="20"/>
          <w:color w:val="auto"/>
        </w:rPr>
        <w:t>You may exercise the Options only in multiples of whole shares. No fractional shares of Common Stock will be issued under the Options.</w:t>
      </w:r>
    </w:p>
    <w:p>
      <w:pPr>
        <w:spacing w:after="0" w:line="215" w:lineRule="exact"/>
        <w:rPr>
          <w:rFonts w:ascii="Arial" w:cs="Arial" w:eastAsia="Arial" w:hAnsi="Arial"/>
          <w:sz w:val="20"/>
          <w:szCs w:val="20"/>
          <w:color w:val="auto"/>
        </w:rPr>
      </w:pPr>
    </w:p>
    <w:p>
      <w:pPr>
        <w:ind w:left="620" w:right="40" w:firstLine="1306"/>
        <w:spacing w:after="0" w:line="243" w:lineRule="auto"/>
        <w:tabs>
          <w:tab w:leader="none" w:pos="2367" w:val="left"/>
        </w:tabs>
        <w:numPr>
          <w:ilvl w:val="1"/>
          <w:numId w:val="39"/>
        </w:numPr>
        <w:rPr>
          <w:rFonts w:ascii="Arial" w:cs="Arial" w:eastAsia="Arial" w:hAnsi="Arial"/>
          <w:sz w:val="20"/>
          <w:szCs w:val="20"/>
          <w:color w:val="auto"/>
        </w:rPr>
      </w:pPr>
      <w:r>
        <w:rPr>
          <w:rFonts w:ascii="Arial" w:cs="Arial" w:eastAsia="Arial" w:hAnsi="Arial"/>
          <w:sz w:val="20"/>
          <w:szCs w:val="20"/>
          <w:u w:val="single" w:color="auto"/>
          <w:color w:val="auto"/>
        </w:rPr>
        <w:t>Exercise Procedure</w:t>
      </w:r>
      <w:r>
        <w:rPr>
          <w:rFonts w:ascii="Arial" w:cs="Arial" w:eastAsia="Arial" w:hAnsi="Arial"/>
          <w:sz w:val="20"/>
          <w:szCs w:val="20"/>
          <w:color w:val="auto"/>
        </w:rPr>
        <w:t>. In order to initiate an exercise of your Options, you must deliver the following items to the Company’s Payroll and Stock Transaction Group in the CFO-Finance Department in the Baltimore, Maryland – Pratt Street office:</w:t>
      </w:r>
    </w:p>
    <w:p>
      <w:pPr>
        <w:spacing w:after="0" w:line="219" w:lineRule="exact"/>
        <w:rPr>
          <w:rFonts w:ascii="Arial" w:cs="Arial" w:eastAsia="Arial" w:hAnsi="Arial"/>
          <w:sz w:val="20"/>
          <w:szCs w:val="20"/>
          <w:color w:val="auto"/>
        </w:rPr>
      </w:pPr>
    </w:p>
    <w:p>
      <w:pPr>
        <w:ind w:left="660" w:right="120" w:firstLine="1293"/>
        <w:spacing w:after="0" w:line="243" w:lineRule="auto"/>
        <w:tabs>
          <w:tab w:leader="none" w:pos="2352" w:val="left"/>
        </w:tabs>
        <w:numPr>
          <w:ilvl w:val="2"/>
          <w:numId w:val="39"/>
        </w:numPr>
        <w:rPr>
          <w:rFonts w:ascii="Arial" w:cs="Arial" w:eastAsia="Arial" w:hAnsi="Arial"/>
          <w:sz w:val="20"/>
          <w:szCs w:val="20"/>
          <w:color w:val="auto"/>
        </w:rPr>
      </w:pPr>
      <w:r>
        <w:rPr>
          <w:rFonts w:ascii="Arial" w:cs="Arial" w:eastAsia="Arial" w:hAnsi="Arial"/>
          <w:sz w:val="20"/>
          <w:szCs w:val="20"/>
          <w:color w:val="auto"/>
        </w:rPr>
        <w:t>an exercise notice, in such manner and form (including, without limitation, electronic on-line format) as the Committee may require from time to time, that specifies the number of shares of Common Stock you then desire to purchase under the Options and your method of payment of the aggregate purchase price; and</w:t>
      </w:r>
    </w:p>
    <w:p>
      <w:pPr>
        <w:spacing w:after="0" w:line="219" w:lineRule="exact"/>
        <w:rPr>
          <w:rFonts w:ascii="Arial" w:cs="Arial" w:eastAsia="Arial" w:hAnsi="Arial"/>
          <w:sz w:val="20"/>
          <w:szCs w:val="20"/>
          <w:color w:val="auto"/>
        </w:rPr>
      </w:pPr>
    </w:p>
    <w:p>
      <w:pPr>
        <w:jc w:val="both"/>
        <w:ind w:left="660" w:right="80" w:firstLine="1293"/>
        <w:spacing w:after="0" w:line="243" w:lineRule="auto"/>
        <w:tabs>
          <w:tab w:leader="none" w:pos="2396" w:val="left"/>
        </w:tabs>
        <w:numPr>
          <w:ilvl w:val="2"/>
          <w:numId w:val="39"/>
        </w:numPr>
        <w:rPr>
          <w:rFonts w:ascii="Arial" w:cs="Arial" w:eastAsia="Arial" w:hAnsi="Arial"/>
          <w:sz w:val="20"/>
          <w:szCs w:val="20"/>
          <w:color w:val="auto"/>
        </w:rPr>
      </w:pPr>
      <w:r>
        <w:rPr>
          <w:rFonts w:ascii="Arial" w:cs="Arial" w:eastAsia="Arial" w:hAnsi="Arial"/>
          <w:sz w:val="20"/>
          <w:szCs w:val="20"/>
          <w:color w:val="auto"/>
        </w:rPr>
        <w:t>full payment of the aggregate purchase price for the shares specified in the exercise notice or properly executed, irrevocable instructions, in such manner and form as the Committee may require from time to time, to effectuate a broker-assisted cashless exercise, each in accordance with Section 3(e) of this Agreement.</w:t>
      </w:r>
    </w:p>
    <w:p>
      <w:pPr>
        <w:spacing w:after="0" w:line="219" w:lineRule="exact"/>
        <w:rPr>
          <w:rFonts w:ascii="Arial" w:cs="Arial" w:eastAsia="Arial" w:hAnsi="Arial"/>
          <w:sz w:val="20"/>
          <w:szCs w:val="20"/>
          <w:color w:val="auto"/>
        </w:rPr>
      </w:pPr>
    </w:p>
    <w:p>
      <w:pPr>
        <w:ind w:left="1760" w:hanging="455"/>
        <w:spacing w:after="0"/>
        <w:tabs>
          <w:tab w:leader="none" w:pos="176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Date Exercise becomes Effective</w:t>
      </w:r>
      <w:r>
        <w:rPr>
          <w:rFonts w:ascii="Arial" w:cs="Arial" w:eastAsia="Arial" w:hAnsi="Arial"/>
          <w:sz w:val="20"/>
          <w:szCs w:val="20"/>
          <w:color w:val="auto"/>
        </w:rPr>
        <w:t>.</w:t>
      </w:r>
    </w:p>
    <w:p>
      <w:pPr>
        <w:spacing w:after="0" w:line="205" w:lineRule="exact"/>
        <w:rPr>
          <w:sz w:val="20"/>
          <w:szCs w:val="20"/>
          <w:color w:val="auto"/>
        </w:rPr>
      </w:pPr>
    </w:p>
    <w:p>
      <w:pPr>
        <w:ind w:left="660" w:right="140" w:firstLine="645"/>
        <w:spacing w:after="0" w:line="272" w:lineRule="auto"/>
        <w:tabs>
          <w:tab w:leader="none" w:pos="1701" w:val="left"/>
        </w:tabs>
        <w:numPr>
          <w:ilvl w:val="0"/>
          <w:numId w:val="41"/>
        </w:numPr>
        <w:rPr>
          <w:rFonts w:ascii="Arial" w:cs="Arial" w:eastAsia="Arial" w:hAnsi="Arial"/>
          <w:sz w:val="20"/>
          <w:szCs w:val="20"/>
          <w:color w:val="auto"/>
        </w:rPr>
      </w:pPr>
      <w:r>
        <w:rPr>
          <w:rFonts w:ascii="Arial" w:cs="Arial" w:eastAsia="Arial" w:hAnsi="Arial"/>
          <w:sz w:val="20"/>
          <w:szCs w:val="20"/>
          <w:color w:val="auto"/>
        </w:rPr>
        <w:t>Your exercise will become effective (the “</w:t>
      </w:r>
      <w:r>
        <w:rPr>
          <w:rFonts w:ascii="Arial" w:cs="Arial" w:eastAsia="Arial" w:hAnsi="Arial"/>
          <w:sz w:val="20"/>
          <w:szCs w:val="20"/>
          <w:b w:val="1"/>
          <w:bCs w:val="1"/>
          <w:i w:val="1"/>
          <w:iCs w:val="1"/>
          <w:color w:val="auto"/>
        </w:rPr>
        <w:t>Exercise Date</w:t>
      </w:r>
      <w:r>
        <w:rPr>
          <w:rFonts w:ascii="Arial" w:cs="Arial" w:eastAsia="Arial" w:hAnsi="Arial"/>
          <w:sz w:val="20"/>
          <w:szCs w:val="20"/>
          <w:color w:val="auto"/>
        </w:rPr>
        <w:t>”) as follows, provided that such exercise otherwise is permitted under and complies with all applicable laws:</w:t>
      </w:r>
    </w:p>
    <w:p>
      <w:pPr>
        <w:spacing w:after="0" w:line="191" w:lineRule="exact"/>
        <w:rPr>
          <w:sz w:val="20"/>
          <w:szCs w:val="20"/>
          <w:color w:val="auto"/>
        </w:rPr>
      </w:pPr>
    </w:p>
    <w:p>
      <w:pPr>
        <w:jc w:val="both"/>
        <w:ind w:left="660" w:firstLine="645"/>
        <w:spacing w:after="0" w:line="243" w:lineRule="auto"/>
        <w:tabs>
          <w:tab w:leader="none" w:pos="1792" w:val="left"/>
        </w:tabs>
        <w:numPr>
          <w:ilvl w:val="0"/>
          <w:numId w:val="42"/>
        </w:numPr>
        <w:rPr>
          <w:rFonts w:ascii="Arial" w:cs="Arial" w:eastAsia="Arial" w:hAnsi="Arial"/>
          <w:sz w:val="20"/>
          <w:szCs w:val="20"/>
          <w:color w:val="auto"/>
        </w:rPr>
      </w:pPr>
      <w:r>
        <w:rPr>
          <w:rFonts w:ascii="Arial" w:cs="Arial" w:eastAsia="Arial" w:hAnsi="Arial"/>
          <w:sz w:val="20"/>
          <w:szCs w:val="20"/>
          <w:color w:val="auto"/>
        </w:rPr>
        <w:t>on the date on which both the exercise notice and payment of the aggregate purchase price is received by the Company’s Payroll and Stock Transaction Group, if such items are received by 5:00 p.m. U.S. Eastern Time on a business day;</w:t>
      </w:r>
    </w:p>
    <w:p>
      <w:pPr>
        <w:spacing w:after="0" w:line="219" w:lineRule="exact"/>
        <w:rPr>
          <w:rFonts w:ascii="Arial" w:cs="Arial" w:eastAsia="Arial" w:hAnsi="Arial"/>
          <w:sz w:val="20"/>
          <w:szCs w:val="20"/>
          <w:color w:val="auto"/>
        </w:rPr>
      </w:pPr>
    </w:p>
    <w:p>
      <w:pPr>
        <w:ind w:left="660" w:right="580" w:firstLine="645"/>
        <w:spacing w:after="0" w:line="243" w:lineRule="auto"/>
        <w:tabs>
          <w:tab w:leader="none" w:pos="1792" w:val="left"/>
        </w:tabs>
        <w:numPr>
          <w:ilvl w:val="0"/>
          <w:numId w:val="42"/>
        </w:numPr>
        <w:rPr>
          <w:rFonts w:ascii="Arial" w:cs="Arial" w:eastAsia="Arial" w:hAnsi="Arial"/>
          <w:sz w:val="20"/>
          <w:szCs w:val="20"/>
          <w:color w:val="auto"/>
        </w:rPr>
      </w:pPr>
      <w:r>
        <w:rPr>
          <w:rFonts w:ascii="Arial" w:cs="Arial" w:eastAsia="Arial" w:hAnsi="Arial"/>
          <w:sz w:val="20"/>
          <w:szCs w:val="20"/>
          <w:color w:val="auto"/>
        </w:rPr>
        <w:t>on the first business day after the date on which both the exercise notice and payment of the aggregate purchase price is received by the Company’s Payroll and Stock Transaction Group, if such items are received after 5:00 p.m. U.S. Eastern Time or are received on a day that is not a business day; 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00"/>
          </w:cols>
          <w:pgMar w:left="240" w:top="595" w:right="259" w:bottom="1440" w:gutter="0" w:footer="0" w:header="0"/>
        </w:sectPr>
      </w:pPr>
    </w:p>
    <w:bookmarkStart w:id="39" w:name="page40"/>
    <w:bookmarkEnd w:id="39"/>
    <w:p>
      <w:pPr>
        <w:jc w:val="both"/>
        <w:ind w:left="660" w:right="80" w:firstLine="645"/>
        <w:spacing w:after="0" w:line="272" w:lineRule="auto"/>
        <w:tabs>
          <w:tab w:leader="none" w:pos="1803" w:val="left"/>
        </w:tabs>
        <w:numPr>
          <w:ilvl w:val="0"/>
          <w:numId w:val="43"/>
        </w:numPr>
        <w:rPr>
          <w:rFonts w:ascii="Arial" w:cs="Arial" w:eastAsia="Arial" w:hAnsi="Arial"/>
          <w:sz w:val="19"/>
          <w:szCs w:val="19"/>
          <w:color w:val="auto"/>
        </w:rPr>
      </w:pPr>
      <w:r>
        <w:rPr>
          <w:rFonts w:ascii="Arial" w:cs="Arial" w:eastAsia="Arial" w:hAnsi="Arial"/>
          <w:sz w:val="19"/>
          <w:szCs w:val="19"/>
          <w:color w:val="auto"/>
        </w:rPr>
        <w:t>on the date on which the sale of shares is executed via a broker-assisted cashless exercise, as confirmed by the brokerage firm, if the exercise notice is accompanied by instructions to effectuate a broker-assisted cashless exercise.</w:t>
      </w:r>
    </w:p>
    <w:p>
      <w:pPr>
        <w:spacing w:after="0" w:line="194" w:lineRule="exact"/>
        <w:rPr>
          <w:sz w:val="20"/>
          <w:szCs w:val="20"/>
          <w:color w:val="auto"/>
        </w:rPr>
      </w:pPr>
    </w:p>
    <w:p>
      <w:pPr>
        <w:ind w:left="660" w:right="40" w:firstLine="645"/>
        <w:spacing w:after="0"/>
        <w:tabs>
          <w:tab w:leader="none" w:pos="1745" w:val="left"/>
        </w:tabs>
        <w:numPr>
          <w:ilvl w:val="0"/>
          <w:numId w:val="44"/>
        </w:numPr>
        <w:rPr>
          <w:rFonts w:ascii="Arial" w:cs="Arial" w:eastAsia="Arial" w:hAnsi="Arial"/>
          <w:sz w:val="20"/>
          <w:szCs w:val="20"/>
          <w:color w:val="auto"/>
        </w:rPr>
      </w:pPr>
      <w:r>
        <w:rPr>
          <w:rFonts w:ascii="Arial" w:cs="Arial" w:eastAsia="Arial" w:hAnsi="Arial"/>
          <w:sz w:val="20"/>
          <w:szCs w:val="20"/>
          <w:color w:val="auto"/>
        </w:rPr>
        <w:t>You are responsible for ensuring that your exercise notice and payment of the aggregate purchase price or instructions to effectuate a broker-assisted cashless exercise are received by the Company’s Payroll and Stock Transaction Group with sufficient time to enable the Exercise Date to occur in accordance with the foregoing rules before the Options expire, are forfeited or otherwise terminated. Because The Nasdaq Stock Market closes at 4:00 p.m. U.S. Eastern Time, any broker-assisted cashless exercise instruction received by the Company’s Payroll and Stock Transaction Group after 4:00 p.m. U.S. Eastern Time cannot be processed until the next business day on which The Nasdaq Stock Market is open for trading. If your broker-assisted cashless exercise instruction results in the sale of shares over a number of days, each day on which a sale occurs will constitute the Exercise Date of the Option with respect to the shares sold on such day.</w:t>
      </w:r>
    </w:p>
    <w:p>
      <w:pPr>
        <w:spacing w:after="0" w:line="226" w:lineRule="exact"/>
        <w:rPr>
          <w:sz w:val="20"/>
          <w:szCs w:val="20"/>
          <w:color w:val="auto"/>
        </w:rPr>
      </w:pPr>
    </w:p>
    <w:p>
      <w:pPr>
        <w:ind w:left="1760" w:hanging="455"/>
        <w:spacing w:after="0"/>
        <w:tabs>
          <w:tab w:leader="none" w:pos="176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Method of Payment</w:t>
      </w:r>
      <w:r>
        <w:rPr>
          <w:rFonts w:ascii="Arial" w:cs="Arial" w:eastAsia="Arial" w:hAnsi="Arial"/>
          <w:sz w:val="20"/>
          <w:szCs w:val="20"/>
          <w:color w:val="auto"/>
        </w:rPr>
        <w:t>.</w:t>
      </w:r>
    </w:p>
    <w:p>
      <w:pPr>
        <w:spacing w:after="0" w:line="229" w:lineRule="exact"/>
        <w:rPr>
          <w:sz w:val="20"/>
          <w:szCs w:val="20"/>
          <w:color w:val="auto"/>
        </w:rPr>
      </w:pPr>
    </w:p>
    <w:p>
      <w:pPr>
        <w:ind w:left="1700" w:hanging="395"/>
        <w:spacing w:after="0"/>
        <w:tabs>
          <w:tab w:leader="none" w:pos="17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You may pay the aggregate purchase price for the shares specified in the exercise notice by:</w:t>
      </w:r>
    </w:p>
    <w:p>
      <w:pPr>
        <w:spacing w:after="0" w:line="229" w:lineRule="exact"/>
        <w:rPr>
          <w:sz w:val="20"/>
          <w:szCs w:val="20"/>
          <w:color w:val="auto"/>
        </w:rPr>
      </w:pPr>
    </w:p>
    <w:p>
      <w:pPr>
        <w:ind w:left="660" w:firstLine="645"/>
        <w:spacing w:after="0" w:line="243" w:lineRule="auto"/>
        <w:tabs>
          <w:tab w:leader="none" w:pos="1792"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delivering cash, wire or fund transfer, check, bank draft, postal or express money order payable to the order of the Company, or other cash equivalent acceptable to the Committee in its discretion, in each such case in currency acceptable to the Committee;</w:t>
      </w:r>
    </w:p>
    <w:p>
      <w:pPr>
        <w:spacing w:after="0" w:line="206" w:lineRule="exact"/>
        <w:rPr>
          <w:rFonts w:ascii="Arial" w:cs="Arial" w:eastAsia="Arial" w:hAnsi="Arial"/>
          <w:sz w:val="20"/>
          <w:szCs w:val="20"/>
          <w:color w:val="auto"/>
        </w:rPr>
      </w:pPr>
    </w:p>
    <w:p>
      <w:pPr>
        <w:ind w:left="660" w:right="40" w:firstLine="645"/>
        <w:spacing w:after="0" w:line="241" w:lineRule="auto"/>
        <w:tabs>
          <w:tab w:leader="none" w:pos="1792"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executing a broker-assisted cashless exercise in accordance with Regulation T of the Board of Governors of the Federal Reserve System through a brokerage firm designated or approved by the Committee, under which the broker is irrevocably instructed to deliver to the Company on your behalf an amount, in cash or acceptable cash equivalents, sufficient to pay the aggregate purchase price for the shares of Common Stock you then desire to purchase under the Options (plus applicable Withholding Taxes, if any), and the Company is instructed to deliver the shares to the broker upon receipt of such amount;</w:t>
      </w:r>
    </w:p>
    <w:p>
      <w:pPr>
        <w:spacing w:after="0" w:line="207" w:lineRule="exact"/>
        <w:rPr>
          <w:rFonts w:ascii="Arial" w:cs="Arial" w:eastAsia="Arial" w:hAnsi="Arial"/>
          <w:sz w:val="20"/>
          <w:szCs w:val="20"/>
          <w:color w:val="auto"/>
        </w:rPr>
      </w:pPr>
    </w:p>
    <w:p>
      <w:pPr>
        <w:ind w:left="1800" w:hanging="495"/>
        <w:spacing w:after="0"/>
        <w:tabs>
          <w:tab w:leader="none" w:pos="18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combination of the foregoing.</w:t>
      </w:r>
    </w:p>
    <w:p>
      <w:pPr>
        <w:spacing w:after="0" w:line="200" w:lineRule="exact"/>
        <w:rPr>
          <w:sz w:val="20"/>
          <w:szCs w:val="20"/>
          <w:color w:val="auto"/>
        </w:rPr>
      </w:pPr>
    </w:p>
    <w:p>
      <w:pPr>
        <w:spacing w:after="0" w:line="259" w:lineRule="exact"/>
        <w:rPr>
          <w:sz w:val="20"/>
          <w:szCs w:val="20"/>
          <w:color w:val="auto"/>
        </w:rPr>
      </w:pPr>
    </w:p>
    <w:p>
      <w:pPr>
        <w:ind w:right="20" w:firstLine="1305"/>
        <w:spacing w:after="0"/>
        <w:tabs>
          <w:tab w:leader="none" w:pos="1703"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By accepting the Options, you agree to make adequate provision for foreign (non-United States), federal, state and local taxes and social insurance contributions (collectively, “</w:t>
      </w:r>
      <w:r>
        <w:rPr>
          <w:rFonts w:ascii="Arial" w:cs="Arial" w:eastAsia="Arial" w:hAnsi="Arial"/>
          <w:sz w:val="20"/>
          <w:szCs w:val="20"/>
          <w:b w:val="1"/>
          <w:bCs w:val="1"/>
          <w:i w:val="1"/>
          <w:iCs w:val="1"/>
          <w:color w:val="auto"/>
        </w:rPr>
        <w:t>Withholding Taxes</w:t>
      </w:r>
      <w:r>
        <w:rPr>
          <w:rFonts w:ascii="Arial" w:cs="Arial" w:eastAsia="Arial" w:hAnsi="Arial"/>
          <w:sz w:val="20"/>
          <w:szCs w:val="20"/>
          <w:color w:val="auto"/>
        </w:rPr>
        <w:t xml:space="preserve">”) required by law to be withheld, if any, which arise in connection with the Options. The Company shall have the right to deduct from any compensation or any other payment of any kind due you (including withholding the issuance or delivery of shares of Common Stock under the Options) the amount of any Withholding Taxes required by law to be withheld as a result of the grant, vesting or exercise of the Options, in whole or in part, or as otherwise may be required by applicable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value of the shares of Common Stock withheld may not exceed, by more than a fractional</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00"/>
          </w:cols>
          <w:pgMar w:left="240" w:top="595" w:right="259" w:bottom="1440" w:gutter="0" w:footer="0" w:header="0"/>
        </w:sectPr>
      </w:pPr>
    </w:p>
    <w:bookmarkStart w:id="40" w:name="page41"/>
    <w:bookmarkEnd w:id="40"/>
    <w:p>
      <w:pPr>
        <w:ind w:right="80"/>
        <w:spacing w:after="0"/>
        <w:rPr>
          <w:sz w:val="20"/>
          <w:szCs w:val="20"/>
          <w:color w:val="auto"/>
        </w:rPr>
      </w:pPr>
      <w:r>
        <w:rPr>
          <w:rFonts w:ascii="Arial" w:cs="Arial" w:eastAsia="Arial" w:hAnsi="Arial"/>
          <w:sz w:val="20"/>
          <w:szCs w:val="20"/>
          <w:color w:val="auto"/>
        </w:rPr>
        <w:t>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 The Company may, in its sole discretion, permit or require you to satisfy, in whole or in part, any Withholding Tax obligation which may arise in connection with the Options by having the Company withhold from the shares to be issued upon exercise that number of shares, which have a fair market value equal to no more than the amount necessary to satisfy the statutory minimum withholding amount due.</w:t>
      </w:r>
    </w:p>
    <w:p>
      <w:pPr>
        <w:spacing w:after="0" w:line="226" w:lineRule="exact"/>
        <w:rPr>
          <w:sz w:val="20"/>
          <w:szCs w:val="20"/>
          <w:color w:val="auto"/>
        </w:rPr>
      </w:pPr>
    </w:p>
    <w:p>
      <w:pPr>
        <w:ind w:right="40" w:firstLine="1305"/>
        <w:spacing w:after="0"/>
        <w:tabs>
          <w:tab w:leader="none" w:pos="1758"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Issuance of Shares upon Exercise</w:t>
      </w:r>
      <w:r>
        <w:rPr>
          <w:rFonts w:ascii="Arial" w:cs="Arial" w:eastAsia="Arial" w:hAnsi="Arial"/>
          <w:sz w:val="20"/>
          <w:szCs w:val="20"/>
          <w:color w:val="auto"/>
        </w:rPr>
        <w:t>. The Company will issue to you the shares of Common Stock underlying the Options you exercise as soon as practicable after the exercise date, subject to the Company’s receipt of the aggregate purchase price and the requisite Withholding Taxes, if any. Unless and until you request the Company to deliver a share certificate to you, or deliver shares electronically or in certificate form to your designated broker, bank or nominee on your behalf, the Company will retain the shares that you purchased through exercise of the Options in uncertificated book entry form. Any share certificates delivered will, unless the shares of Common Stock are registered or an exemption from registration is available under applicable federal and state law, bear a legend restricting transferability of such shares of Common Stock. If you purchase shares of Common Stock under Options that qualify as incentive stock options within the meaning of Section 422 of the Code, the Company may take reasonable measures, which you agree to abide by when accepting the correlating Notice, to track the ownership of such shares until the date on which a sale or disposition of the shares by you would no longer constitute a disqualifying disposition within the meaning of Section 422 of the Code.</w:t>
      </w:r>
    </w:p>
    <w:p>
      <w:pPr>
        <w:spacing w:after="0" w:line="225" w:lineRule="exact"/>
        <w:rPr>
          <w:rFonts w:ascii="Arial" w:cs="Arial" w:eastAsia="Arial" w:hAnsi="Arial"/>
          <w:sz w:val="20"/>
          <w:szCs w:val="20"/>
          <w:color w:val="auto"/>
        </w:rPr>
      </w:pPr>
    </w:p>
    <w:p>
      <w:pPr>
        <w:ind w:left="1040" w:hanging="384"/>
        <w:spacing w:after="0"/>
        <w:tabs>
          <w:tab w:leader="none" w:pos="104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Forfeiture of Unvested Options upon Termination of Service</w:t>
      </w:r>
      <w:r>
        <w:rPr>
          <w:rFonts w:ascii="Arial" w:cs="Arial" w:eastAsia="Arial" w:hAnsi="Arial"/>
          <w:sz w:val="20"/>
          <w:szCs w:val="20"/>
          <w:color w:val="auto"/>
        </w:rPr>
        <w:t>.</w:t>
      </w:r>
    </w:p>
    <w:p>
      <w:pPr>
        <w:spacing w:after="0" w:line="229" w:lineRule="exact"/>
        <w:rPr>
          <w:sz w:val="20"/>
          <w:szCs w:val="20"/>
          <w:color w:val="auto"/>
        </w:rPr>
      </w:pPr>
    </w:p>
    <w:p>
      <w:pPr>
        <w:ind w:right="60" w:firstLine="656"/>
        <w:spacing w:after="0" w:line="241" w:lineRule="auto"/>
        <w:tabs>
          <w:tab w:leader="none" w:pos="111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Termination before Accruing 35 Years of Credited Service with 10 Years of Service with the Company</w:t>
      </w:r>
      <w:r>
        <w:rPr>
          <w:rFonts w:ascii="Arial" w:cs="Arial" w:eastAsia="Arial" w:hAnsi="Arial"/>
          <w:sz w:val="20"/>
          <w:szCs w:val="20"/>
          <w:color w:val="auto"/>
        </w:rPr>
        <w:t>. If your Service ceases for any reason before you have at least 35 years of Credited Service with at least ten years of Credited Service that is attributable to Service with, including Service with any successor to the Company, all Options that are not then vested or eligible for future vesting, after giving effect to the applicable provisions of Section 2 above, will be immediately forfeited upon such cessation for no consideration.</w:t>
      </w:r>
    </w:p>
    <w:p>
      <w:pPr>
        <w:spacing w:after="0" w:line="222" w:lineRule="exact"/>
        <w:rPr>
          <w:rFonts w:ascii="Arial" w:cs="Arial" w:eastAsia="Arial" w:hAnsi="Arial"/>
          <w:sz w:val="20"/>
          <w:szCs w:val="20"/>
          <w:color w:val="auto"/>
        </w:rPr>
      </w:pPr>
    </w:p>
    <w:p>
      <w:pPr>
        <w:ind w:firstLine="656"/>
        <w:spacing w:after="0" w:line="230" w:lineRule="exact"/>
        <w:tabs>
          <w:tab w:leader="none" w:pos="111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Termination after Accruing 35 Years of Credited Service with 10 Years of Service with the Company</w:t>
      </w:r>
      <w:r>
        <w:rPr>
          <w:rFonts w:ascii="Arial" w:cs="Arial" w:eastAsia="Arial" w:hAnsi="Arial"/>
          <w:sz w:val="20"/>
          <w:szCs w:val="20"/>
          <w:color w:val="auto"/>
        </w:rPr>
        <w:t>. If, as of the date on which your Termination of Service occurs, you have at least 35 years of Credited Service and at least ten years of that Credited Service is attributable to Service with the Company including Service with any successor to the Company, then Options that are not then vested, after giving effect to the applicable provisions of Section 2 above, and which are scheduled to vest on vesting dates set forth in the correlating Notice that fall beyond the 36</w:t>
      </w:r>
      <w:r>
        <w:rPr>
          <w:rFonts w:ascii="MS PGothic" w:cs="MS PGothic" w:eastAsia="MS PGothic" w:hAnsi="MS PGothic"/>
          <w:sz w:val="20"/>
          <w:szCs w:val="20"/>
          <w:color w:val="auto"/>
        </w:rPr>
        <w:t>‑</w:t>
      </w:r>
      <w:r>
        <w:rPr>
          <w:rFonts w:ascii="Arial" w:cs="Arial" w:eastAsia="Arial" w:hAnsi="Arial"/>
          <w:sz w:val="20"/>
          <w:szCs w:val="20"/>
          <w:color w:val="auto"/>
        </w:rPr>
        <w:t>month period immediately following your Termination of Service, will be immediately forfeited upon such cessation for no consideration and Section 2(c) will apply to the then-unvested Options which are scheduled to vest within the 36-month period immediately following your Termination of Service.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00"/>
          </w:cols>
          <w:pgMar w:left="240" w:top="595" w:right="259" w:bottom="1440" w:gutter="0" w:footer="0" w:header="0"/>
        </w:sectPr>
      </w:pPr>
    </w:p>
    <w:bookmarkStart w:id="41" w:name="page42"/>
    <w:bookmarkEnd w:id="41"/>
    <w:p>
      <w:pPr>
        <w:ind w:right="80" w:firstLine="656"/>
        <w:spacing w:after="0" w:line="243" w:lineRule="auto"/>
        <w:tabs>
          <w:tab w:leader="none" w:pos="1033"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Exercise Periods upon Termination of Service</w:t>
      </w:r>
      <w:r>
        <w:rPr>
          <w:rFonts w:ascii="Arial" w:cs="Arial" w:eastAsia="Arial" w:hAnsi="Arial"/>
          <w:sz w:val="20"/>
          <w:szCs w:val="20"/>
          <w:color w:val="auto"/>
        </w:rPr>
        <w:t>. The period during which you may exercise Options after your Service with the Company terminates is dependent upon your cumulative years of Service credit with the Company, including Service with any successor to the Company, as of the date on which your Service terminates, as follows:</w:t>
      </w:r>
    </w:p>
    <w:p>
      <w:pPr>
        <w:spacing w:after="0" w:line="220" w:lineRule="exact"/>
        <w:rPr>
          <w:sz w:val="20"/>
          <w:szCs w:val="20"/>
          <w:color w:val="auto"/>
        </w:rPr>
      </w:pPr>
    </w:p>
    <w:p>
      <w:pPr>
        <w:ind w:right="160" w:firstLine="656"/>
        <w:spacing w:after="0" w:line="259" w:lineRule="auto"/>
        <w:tabs>
          <w:tab w:leader="none" w:pos="111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Termination before Accruing 30 Years of Credited Service with 10 Years of Service with the Company</w:t>
      </w:r>
      <w:r>
        <w:rPr>
          <w:rFonts w:ascii="Arial" w:cs="Arial" w:eastAsia="Arial" w:hAnsi="Arial"/>
          <w:sz w:val="19"/>
          <w:szCs w:val="19"/>
          <w:color w:val="auto"/>
        </w:rPr>
        <w:t>. If, as of the date of your Termination of Service, you do not have at least 30 years of Credited Service with at least ten years of your Credited Service being attributable to Service with the Company, including Service with any successor to the Company, your vested Options will terminate 90 days after the date on which your Service terminates, but in no event later than the Expiration Date.</w:t>
      </w:r>
    </w:p>
    <w:p>
      <w:pPr>
        <w:spacing w:after="0" w:line="204" w:lineRule="exact"/>
        <w:rPr>
          <w:rFonts w:ascii="Arial" w:cs="Arial" w:eastAsia="Arial" w:hAnsi="Arial"/>
          <w:sz w:val="19"/>
          <w:szCs w:val="19"/>
          <w:color w:val="auto"/>
        </w:rPr>
      </w:pPr>
    </w:p>
    <w:p>
      <w:pPr>
        <w:ind w:right="20" w:firstLine="656"/>
        <w:spacing w:after="0" w:line="242" w:lineRule="auto"/>
        <w:tabs>
          <w:tab w:leader="none" w:pos="111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Termination after Accruing 30 Years of Credited Service with 10 Years of Service with the Company</w:t>
      </w:r>
      <w:r>
        <w:rPr>
          <w:rFonts w:ascii="Arial" w:cs="Arial" w:eastAsia="Arial" w:hAnsi="Arial"/>
          <w:sz w:val="20"/>
          <w:szCs w:val="20"/>
          <w:color w:val="auto"/>
        </w:rPr>
        <w:t>. If, as of the date of your Termination of Service, you have at least 30, but not 33, years of Credited Service and at least ten years of that Credited Service is attributable to Service with the Company including Service with any successor to the Company, your vested Options will terminate 13 months after the date on which your Service terminates, but in no event later than the Expiration Date.</w:t>
      </w:r>
    </w:p>
    <w:p>
      <w:pPr>
        <w:spacing w:after="0" w:line="220" w:lineRule="exact"/>
        <w:rPr>
          <w:rFonts w:ascii="Arial" w:cs="Arial" w:eastAsia="Arial" w:hAnsi="Arial"/>
          <w:sz w:val="20"/>
          <w:szCs w:val="20"/>
          <w:color w:val="auto"/>
        </w:rPr>
      </w:pPr>
    </w:p>
    <w:p>
      <w:pPr>
        <w:ind w:right="20" w:firstLine="656"/>
        <w:spacing w:after="0" w:line="242" w:lineRule="auto"/>
        <w:tabs>
          <w:tab w:leader="none" w:pos="1099"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Termination after Accruing 33 Years of Credited Service with 10 Years of Service with the Company</w:t>
      </w:r>
      <w:r>
        <w:rPr>
          <w:rFonts w:ascii="Arial" w:cs="Arial" w:eastAsia="Arial" w:hAnsi="Arial"/>
          <w:sz w:val="20"/>
          <w:szCs w:val="20"/>
          <w:color w:val="auto"/>
        </w:rPr>
        <w:t>. If, as of the date of your Termination of Service, you have at least 33, but not 35, years of Credited Service and at least ten years of that Credited Service is attributable to Service with the Company including Service with any successor to the Company, your vested Options will terminate 36 months after the date on which your Service terminates, but in no event later than the Expiration Date.</w:t>
      </w:r>
    </w:p>
    <w:p>
      <w:pPr>
        <w:spacing w:after="0" w:line="220" w:lineRule="exact"/>
        <w:rPr>
          <w:rFonts w:ascii="Arial" w:cs="Arial" w:eastAsia="Arial" w:hAnsi="Arial"/>
          <w:sz w:val="20"/>
          <w:szCs w:val="20"/>
          <w:color w:val="auto"/>
        </w:rPr>
      </w:pPr>
    </w:p>
    <w:p>
      <w:pPr>
        <w:ind w:firstLine="656"/>
        <w:spacing w:after="0" w:line="255" w:lineRule="auto"/>
        <w:tabs>
          <w:tab w:leader="none" w:pos="111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Termination after Accruing 35 Years of Credited Service with 10 Years of Service with the Company</w:t>
      </w:r>
      <w:r>
        <w:rPr>
          <w:rFonts w:ascii="Arial" w:cs="Arial" w:eastAsia="Arial" w:hAnsi="Arial"/>
          <w:sz w:val="19"/>
          <w:szCs w:val="19"/>
          <w:color w:val="auto"/>
        </w:rPr>
        <w:t>. If, as of the date of your Termination of Service, you have at least 35 years of Credited Service and at least ten years of that Credited Service is attributable to Service with the Company including Service with any successor to the Company, your vested Options determined as of the date of your Termination of Service will terminate 36 months after the date on which your Service terminates, but in no event later than the Expiration Date. Furthermore, any Options which become vested pursuant to Section 2(c) above within the 36-month period following the date on which your Service terminates will terminate 39 months after the date on which your Service terminates (i.e., the standard 36-month period plus three additional months), but in no event later than the Expiration Date.</w:t>
      </w:r>
    </w:p>
    <w:p>
      <w:pPr>
        <w:spacing w:after="0" w:line="211" w:lineRule="exact"/>
        <w:rPr>
          <w:rFonts w:ascii="Arial" w:cs="Arial" w:eastAsia="Arial" w:hAnsi="Arial"/>
          <w:sz w:val="19"/>
          <w:szCs w:val="19"/>
          <w:color w:val="auto"/>
        </w:rPr>
      </w:pPr>
    </w:p>
    <w:p>
      <w:pPr>
        <w:ind w:right="340" w:firstLine="656"/>
        <w:spacing w:after="0" w:line="242" w:lineRule="auto"/>
        <w:tabs>
          <w:tab w:leader="none" w:pos="111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If your Termination of Service is due to your Total and Permanent Disability, your vested Options will terminate (i) 13 months after the date on which your Service terminates or, if later, (ii) upon the date specified in Section 5(c) or 5(d), whichever subsection is applicable (if any) based on your accrued Credited Service when your Termination of Service occurs, but in no event later than the Expiration Date.</w:t>
      </w:r>
    </w:p>
    <w:p>
      <w:pPr>
        <w:spacing w:after="0" w:line="219" w:lineRule="exact"/>
        <w:rPr>
          <w:rFonts w:ascii="Arial" w:cs="Arial" w:eastAsia="Arial" w:hAnsi="Arial"/>
          <w:sz w:val="20"/>
          <w:szCs w:val="20"/>
          <w:color w:val="auto"/>
        </w:rPr>
      </w:pPr>
    </w:p>
    <w:p>
      <w:pPr>
        <w:ind w:left="1060" w:hanging="404"/>
        <w:spacing w:after="0"/>
        <w:tabs>
          <w:tab w:leader="none" w:pos="106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If your death occurs prior to your Termination of Service or during any of the periods described in Sections</w:t>
      </w:r>
    </w:p>
    <w:p>
      <w:pPr>
        <w:ind w:right="340"/>
        <w:spacing w:after="0" w:line="243" w:lineRule="auto"/>
        <w:rPr>
          <w:sz w:val="20"/>
          <w:szCs w:val="20"/>
          <w:color w:val="auto"/>
        </w:rPr>
      </w:pPr>
      <w:r>
        <w:rPr>
          <w:rFonts w:ascii="Arial" w:cs="Arial" w:eastAsia="Arial" w:hAnsi="Arial"/>
          <w:sz w:val="20"/>
          <w:szCs w:val="20"/>
          <w:color w:val="auto"/>
        </w:rPr>
        <w:t>5(a), 5(b), 5(c), 5(d) or 5(e) above during which your vested Options remained exercisable by you, then your estate, personal representative or any beneficiary, heir or legatee to whom the Options have been transferred will be permitted to exercise such vested Options during the 12-month period immediately following your date of</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20"/>
          </w:cols>
          <w:pgMar w:left="240" w:top="595" w:right="239" w:bottom="1440" w:gutter="0" w:footer="0" w:header="0"/>
        </w:sectPr>
      </w:pPr>
    </w:p>
    <w:bookmarkStart w:id="42" w:name="page43"/>
    <w:bookmarkEnd w:id="42"/>
    <w:p>
      <w:pPr>
        <w:spacing w:after="0" w:line="239" w:lineRule="auto"/>
        <w:rPr>
          <w:sz w:val="20"/>
          <w:szCs w:val="20"/>
          <w:color w:val="auto"/>
        </w:rPr>
      </w:pPr>
      <w:r>
        <w:rPr>
          <w:rFonts w:ascii="Arial" w:cs="Arial" w:eastAsia="Arial" w:hAnsi="Arial"/>
          <w:sz w:val="20"/>
          <w:szCs w:val="20"/>
          <w:color w:val="auto"/>
        </w:rPr>
        <w:t>death, but in no event later than the Expiration Date. To the extent unexercised, the vested Options will terminate upon the expiration of the applicable period specified in the immediately preceding sentence. Any person seeking to exercise your Options following your death must provide to the Company appropriate documentation as may be requested by the Committee to establish your death and such person’s right to exercise the Options.</w:t>
      </w:r>
    </w:p>
    <w:p>
      <w:pPr>
        <w:spacing w:after="0" w:line="2" w:lineRule="exact"/>
        <w:rPr>
          <w:sz w:val="20"/>
          <w:szCs w:val="20"/>
          <w:color w:val="auto"/>
        </w:rPr>
      </w:pPr>
    </w:p>
    <w:p>
      <w:pPr>
        <w:ind w:right="200" w:firstLine="656"/>
        <w:spacing w:after="0" w:line="242" w:lineRule="auto"/>
        <w:tabs>
          <w:tab w:leader="none" w:pos="111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Extraordinary Corporate Events</w:t>
      </w:r>
      <w:r>
        <w:rPr>
          <w:rFonts w:ascii="Arial" w:cs="Arial" w:eastAsia="Arial" w:hAnsi="Arial"/>
          <w:sz w:val="20"/>
          <w:szCs w:val="20"/>
          <w:color w:val="auto"/>
        </w:rPr>
        <w:t>. Each of the periods in which vested Options may be exercised following your Termination of Service described in this Section 5 is subject to being superseded by the provisions of the Plan and the Sub-Plan with respect to a Change in Control, merger, consolidation, stock rights offering, liquidation or dissolution, statutory share exchange or similar event affecting Price Group.</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380"/>
          </w:cols>
          <w:pgMar w:left="240" w:top="595" w:right="279" w:bottom="1440" w:gutter="0" w:footer="0" w:header="0"/>
        </w:sectPr>
      </w:pPr>
    </w:p>
    <w:bookmarkStart w:id="43" w:name="page44"/>
    <w:bookmarkEnd w:id="43"/>
    <w:p>
      <w:pPr>
        <w:ind w:left="1040" w:hanging="384"/>
        <w:spacing w:after="0"/>
        <w:tabs>
          <w:tab w:leader="none" w:pos="104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w:t>
      </w:r>
    </w:p>
    <w:p>
      <w:pPr>
        <w:spacing w:after="0" w:line="229" w:lineRule="exact"/>
        <w:rPr>
          <w:sz w:val="20"/>
          <w:szCs w:val="20"/>
          <w:color w:val="auto"/>
        </w:rPr>
      </w:pPr>
    </w:p>
    <w:p>
      <w:pPr>
        <w:ind w:firstLine="656"/>
        <w:spacing w:after="0"/>
        <w:tabs>
          <w:tab w:leader="none" w:pos="111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Termination of Vesting/No Extension of Exercise Period</w:t>
      </w:r>
      <w:r>
        <w:rPr>
          <w:rFonts w:ascii="Arial" w:cs="Arial" w:eastAsia="Arial" w:hAnsi="Arial"/>
          <w:sz w:val="20"/>
          <w:szCs w:val="20"/>
          <w:color w:val="auto"/>
        </w:rPr>
        <w:t>. Notwithstanding anything in Section 2 or Section 5 to the contrary, upon the occurrence of any Prohibited Action set forth in Section 6(b), the following shall occur with respect to your Options: (i) no further Options will become vested and any then-unvested Options will terminate immediately, and (ii) all Options that were vested as of the date on which your Termination of Service occurred and any Options which became vested pursuant to Section 2(c) after your Termination of Service occurred shall terminate 90 days after the date on which your Termination of Service occurred or on the date on which the Prohibited Action occurred if later, but in no event later than the Expiration Date. For clarity, the Options described in clause (ii) of the immediately preceding sentence will terminate immediately if a Prohibited Action occurs later than the 90th day after the date on which your Termination of Service occurred.</w:t>
      </w:r>
    </w:p>
    <w:p>
      <w:pPr>
        <w:spacing w:after="0" w:line="202" w:lineRule="exact"/>
        <w:rPr>
          <w:rFonts w:ascii="Arial" w:cs="Arial" w:eastAsia="Arial" w:hAnsi="Arial"/>
          <w:sz w:val="20"/>
          <w:szCs w:val="20"/>
          <w:color w:val="auto"/>
        </w:rPr>
      </w:pPr>
    </w:p>
    <w:p>
      <w:pPr>
        <w:ind w:firstLine="656"/>
        <w:spacing w:after="0" w:line="255" w:lineRule="auto"/>
        <w:tabs>
          <w:tab w:leader="none" w:pos="111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Prohibited Actions</w:t>
      </w:r>
      <w:r>
        <w:rPr>
          <w:rFonts w:ascii="Arial" w:cs="Arial" w:eastAsia="Arial" w:hAnsi="Arial"/>
          <w:sz w:val="20"/>
          <w:szCs w:val="20"/>
          <w:color w:val="auto"/>
        </w:rPr>
        <w:t xml:space="preserve">. The following actions are considered </w:t>
      </w:r>
      <w:r>
        <w:rPr>
          <w:rFonts w:ascii="Arial" w:cs="Arial" w:eastAsia="Arial" w:hAnsi="Arial"/>
          <w:sz w:val="20"/>
          <w:szCs w:val="20"/>
          <w:b w:val="1"/>
          <w:bCs w:val="1"/>
          <w:i w:val="1"/>
          <w:iCs w:val="1"/>
          <w:color w:val="auto"/>
        </w:rPr>
        <w:t>Prohibited Actions</w:t>
      </w:r>
      <w:r>
        <w:rPr>
          <w:rFonts w:ascii="Arial" w:cs="Arial" w:eastAsia="Arial" w:hAnsi="Arial"/>
          <w:sz w:val="20"/>
          <w:szCs w:val="20"/>
          <w:color w:val="auto"/>
        </w:rPr>
        <w:t xml:space="preserve"> and subject to the consequences set forth in Section 6(a) above, whether engaged in by you directly or indirectly, either as an employee, employer, consultant, or in any other capacity:</w:t>
      </w:r>
    </w:p>
    <w:p>
      <w:pPr>
        <w:spacing w:after="0" w:line="185" w:lineRule="exact"/>
        <w:rPr>
          <w:sz w:val="20"/>
          <w:szCs w:val="20"/>
          <w:color w:val="auto"/>
        </w:rPr>
      </w:pPr>
    </w:p>
    <w:p>
      <w:pPr>
        <w:ind w:right="100" w:firstLine="656"/>
        <w:spacing w:after="0" w:line="247" w:lineRule="auto"/>
        <w:tabs>
          <w:tab w:leader="none" w:pos="1044"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engaging in any Competing Business. </w:t>
      </w:r>
      <w:r>
        <w:rPr>
          <w:rFonts w:ascii="Arial" w:cs="Arial" w:eastAsia="Arial" w:hAnsi="Arial"/>
          <w:sz w:val="20"/>
          <w:szCs w:val="20"/>
          <w:b w:val="1"/>
          <w:bCs w:val="1"/>
          <w:i w:val="1"/>
          <w:iCs w:val="1"/>
          <w:color w:val="auto"/>
        </w:rPr>
        <w:t>Competing Business</w:t>
      </w:r>
      <w:r>
        <w:rPr>
          <w:rFonts w:ascii="Arial" w:cs="Arial" w:eastAsia="Arial" w:hAnsi="Arial"/>
          <w:sz w:val="20"/>
          <w:szCs w:val="20"/>
          <w:color w:val="auto"/>
        </w:rPr>
        <w:t xml:space="preserve"> shall be defined as the business of investment advisory services to individual and/or institutional investors, retirement plan services, discount brokerage, trust services, and any other business which is competitive with the business activities of the Company;</w:t>
      </w:r>
    </w:p>
    <w:p>
      <w:pPr>
        <w:spacing w:after="0" w:line="2" w:lineRule="exact"/>
        <w:rPr>
          <w:rFonts w:ascii="Arial" w:cs="Arial" w:eastAsia="Arial" w:hAnsi="Arial"/>
          <w:sz w:val="20"/>
          <w:szCs w:val="20"/>
          <w:color w:val="auto"/>
        </w:rPr>
      </w:pPr>
    </w:p>
    <w:p>
      <w:pPr>
        <w:ind w:right="480" w:firstLine="656"/>
        <w:spacing w:after="0" w:line="256" w:lineRule="auto"/>
        <w:tabs>
          <w:tab w:leader="none" w:pos="1088" w:val="left"/>
        </w:tabs>
        <w:numPr>
          <w:ilvl w:val="0"/>
          <w:numId w:val="57"/>
        </w:numPr>
        <w:rPr>
          <w:rFonts w:ascii="Arial" w:cs="Arial" w:eastAsia="Arial" w:hAnsi="Arial"/>
          <w:sz w:val="19"/>
          <w:szCs w:val="19"/>
          <w:color w:val="auto"/>
        </w:rPr>
      </w:pPr>
      <w:r>
        <w:rPr>
          <w:rFonts w:ascii="Arial" w:cs="Arial" w:eastAsia="Arial" w:hAnsi="Arial"/>
          <w:sz w:val="19"/>
          <w:szCs w:val="19"/>
          <w:color w:val="auto"/>
        </w:rPr>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208" w:lineRule="exact"/>
        <w:rPr>
          <w:rFonts w:ascii="Arial" w:cs="Arial" w:eastAsia="Arial" w:hAnsi="Arial"/>
          <w:sz w:val="19"/>
          <w:szCs w:val="19"/>
          <w:color w:val="auto"/>
        </w:rPr>
      </w:pPr>
    </w:p>
    <w:p>
      <w:pPr>
        <w:ind w:right="420" w:firstLine="656"/>
        <w:spacing w:after="0" w:line="242" w:lineRule="auto"/>
        <w:tabs>
          <w:tab w:leader="none" w:pos="1132"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196" w:lineRule="exact"/>
        <w:rPr>
          <w:rFonts w:ascii="Arial" w:cs="Arial" w:eastAsia="Arial" w:hAnsi="Arial"/>
          <w:sz w:val="20"/>
          <w:szCs w:val="20"/>
          <w:color w:val="auto"/>
        </w:rPr>
      </w:pPr>
    </w:p>
    <w:p>
      <w:pPr>
        <w:ind w:right="140" w:firstLine="656"/>
        <w:spacing w:after="0" w:line="246" w:lineRule="auto"/>
        <w:tabs>
          <w:tab w:leader="none" w:pos="1143" w:val="left"/>
        </w:tabs>
        <w:numPr>
          <w:ilvl w:val="0"/>
          <w:numId w:val="57"/>
        </w:numPr>
        <w:rPr>
          <w:rFonts w:ascii="Arial" w:cs="Arial" w:eastAsia="Arial" w:hAnsi="Arial"/>
          <w:sz w:val="20"/>
          <w:szCs w:val="20"/>
          <w:color w:val="auto"/>
        </w:rPr>
      </w:pPr>
      <w:r>
        <w:rPr>
          <w:rFonts w:ascii="Arial" w:cs="Arial" w:eastAsia="Arial" w:hAnsi="Arial"/>
          <w:sz w:val="20"/>
          <w:szCs w:val="20"/>
          <w:color w:val="auto"/>
        </w:rPr>
        <w:t>using, reproducing, or disclosing any Confidential Information of the Company. “</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00"/>
          </w:cols>
          <w:pgMar w:left="240" w:top="595" w:right="259" w:bottom="1440" w:gutter="0" w:footer="0" w:header="0"/>
        </w:sectPr>
      </w:pPr>
    </w:p>
    <w:bookmarkStart w:id="44" w:name="page45"/>
    <w:bookmarkEnd w:id="44"/>
    <w:p>
      <w:pPr>
        <w:ind w:right="100" w:firstLine="656"/>
        <w:spacing w:after="0" w:line="249" w:lineRule="auto"/>
        <w:tabs>
          <w:tab w:leader="none" w:pos="1099"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pleading guilty or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(or a similar plea) to, or being convicted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14"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(vi) breaching a regulatory rule that adversely affects your ability to perform your employment duties to the Company in any material respect; and</w:t>
      </w:r>
    </w:p>
    <w:p>
      <w:pPr>
        <w:spacing w:after="0" w:line="215" w:lineRule="exact"/>
        <w:rPr>
          <w:sz w:val="20"/>
          <w:szCs w:val="20"/>
          <w:color w:val="auto"/>
        </w:rPr>
      </w:pPr>
    </w:p>
    <w:p>
      <w:pPr>
        <w:ind w:right="300" w:firstLine="8"/>
        <w:spacing w:after="0" w:line="243" w:lineRule="auto"/>
        <w:tabs>
          <w:tab w:leader="none" w:pos="539" w:val="left"/>
        </w:tabs>
        <w:numPr>
          <w:ilvl w:val="0"/>
          <w:numId w:val="59"/>
        </w:numPr>
        <w:rPr>
          <w:rFonts w:ascii="Arial" w:cs="Arial" w:eastAsia="Arial" w:hAnsi="Arial"/>
          <w:sz w:val="20"/>
          <w:szCs w:val="20"/>
          <w:color w:val="auto"/>
        </w:rPr>
      </w:pPr>
      <w:r>
        <w:rPr>
          <w:rFonts w:ascii="Arial" w:cs="Arial" w:eastAsia="Arial" w:hAnsi="Arial"/>
          <w:sz w:val="20"/>
          <w:szCs w:val="20"/>
          <w:color w:val="auto"/>
        </w:rPr>
        <w:t>failing, in any material respect, to (A) perform your employment duties, (B) comply with the applicable policies of the Company, (C) follow reasonable directions received from the Company or (D) comply with covenants contained in any contract with the Company to which you are a party.</w:t>
      </w:r>
    </w:p>
    <w:p>
      <w:pPr>
        <w:spacing w:after="0" w:line="220" w:lineRule="exact"/>
        <w:rPr>
          <w:sz w:val="20"/>
          <w:szCs w:val="20"/>
          <w:color w:val="auto"/>
        </w:rPr>
      </w:pPr>
    </w:p>
    <w:p>
      <w:pPr>
        <w:ind w:right="20" w:firstLine="8"/>
        <w:spacing w:after="0" w:line="242" w:lineRule="auto"/>
        <w:tabs>
          <w:tab w:leader="none" w:pos="451"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Blue Pencil</w:t>
      </w:r>
      <w:r>
        <w:rPr>
          <w:rFonts w:ascii="Arial" w:cs="Arial" w:eastAsia="Arial" w:hAnsi="Arial"/>
          <w:sz w:val="20"/>
          <w:szCs w:val="20"/>
          <w:color w:val="auto"/>
        </w:rPr>
        <w:t>. If any of the provisions or terms of this Section 6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 time, geographic and/or customer limitations permitted by the applicable laws, so as to be valid and enforceable.</w:t>
      </w:r>
    </w:p>
    <w:p>
      <w:pPr>
        <w:spacing w:after="0" w:line="220" w:lineRule="exact"/>
        <w:rPr>
          <w:rFonts w:ascii="Arial" w:cs="Arial" w:eastAsia="Arial" w:hAnsi="Arial"/>
          <w:sz w:val="20"/>
          <w:szCs w:val="20"/>
          <w:color w:val="auto"/>
        </w:rPr>
      </w:pPr>
    </w:p>
    <w:p>
      <w:pPr>
        <w:ind w:firstLine="8"/>
        <w:spacing w:after="0" w:line="242" w:lineRule="auto"/>
        <w:tabs>
          <w:tab w:leader="none" w:pos="462"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Notification To Company</w:t>
      </w:r>
      <w:r>
        <w:rPr>
          <w:rFonts w:ascii="Arial" w:cs="Arial" w:eastAsia="Arial" w:hAnsi="Arial"/>
          <w:sz w:val="20"/>
          <w:szCs w:val="20"/>
          <w:color w:val="auto"/>
        </w:rPr>
        <w:t>. For as long as you have vested Options that have not been exercised, you covenant and agree that you will disclose to the Company the identity of any new employer within two business days of being employed or engaged by such new employer, and at the time that you seek to exercise any Options you will provide to the Company information sufficient to confirm that you have not engaged in any Prohibited Actions.</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u w:val="single" w:color="auto"/>
          <w:color w:val="auto"/>
        </w:rPr>
        <w:t>Nontransferability of Options</w:t>
      </w:r>
      <w:r>
        <w:rPr>
          <w:rFonts w:ascii="Arial" w:cs="Arial" w:eastAsia="Arial" w:hAnsi="Arial"/>
          <w:sz w:val="20"/>
          <w:szCs w:val="20"/>
          <w:color w:val="auto"/>
        </w:rPr>
        <w:t xml:space="preserve">. These Options are nontransferable otherwise than by last will and testament or the laws of descent and distribution and, during your lifetime, the Options may be exercised only by you or, during the period you are under a legal disability, by your guardian or legal representative. </w:t>
      </w:r>
      <w:r>
        <w:rPr>
          <w:rFonts w:ascii="Arial" w:cs="Arial" w:eastAsia="Arial" w:hAnsi="Arial"/>
          <w:sz w:val="20"/>
          <w:szCs w:val="20"/>
          <w:u w:val="single" w:color="auto"/>
          <w:color w:val="auto"/>
        </w:rPr>
        <w:t>T</w:t>
      </w:r>
      <w:r>
        <w:rPr>
          <w:rFonts w:ascii="Arial" w:cs="Arial" w:eastAsia="Arial" w:hAnsi="Arial"/>
          <w:sz w:val="20"/>
          <w:szCs w:val="20"/>
          <w:color w:val="auto"/>
        </w:rPr>
        <w:t>he Options and, before exercise, the shares of Common Stock subject to purchase thereunder, may not be assigned, transferred, pledged, hypothecated, subjected to any “put equivalent position,” “call equivalent position” (as each preceding term is defined by Rule 16(a)-1 under the Securities Exchange Act of 1934), or short position, or disposed of in any way (whether voluntarily or involuntarily, by operation of law or otherwise) and shall not be subject to execution, attachment or similar process.</w:t>
      </w:r>
    </w:p>
    <w:p>
      <w:pPr>
        <w:spacing w:after="0" w:line="227"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Status for Tax Purposes</w:t>
      </w:r>
      <w:r>
        <w:rPr>
          <w:rFonts w:ascii="Arial" w:cs="Arial" w:eastAsia="Arial" w:hAnsi="Arial"/>
          <w:sz w:val="20"/>
          <w:szCs w:val="20"/>
          <w:color w:val="auto"/>
        </w:rPr>
        <w:t>.</w:t>
      </w:r>
    </w:p>
    <w:p>
      <w:pPr>
        <w:spacing w:after="0" w:line="229" w:lineRule="exact"/>
        <w:rPr>
          <w:sz w:val="20"/>
          <w:szCs w:val="20"/>
          <w:color w:val="auto"/>
        </w:rPr>
      </w:pPr>
    </w:p>
    <w:p>
      <w:pPr>
        <w:ind w:right="180" w:firstLine="8"/>
        <w:spacing w:after="0" w:line="243" w:lineRule="auto"/>
        <w:tabs>
          <w:tab w:leader="none" w:pos="46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Approved Options</w:t>
      </w:r>
      <w:r>
        <w:rPr>
          <w:rFonts w:ascii="Arial" w:cs="Arial" w:eastAsia="Arial" w:hAnsi="Arial"/>
          <w:sz w:val="20"/>
          <w:szCs w:val="20"/>
          <w:color w:val="auto"/>
        </w:rPr>
        <w:t>. The Options are approved stock options that have been granted under the Sub-Plan approved by Her Majesty's Revenue and Customs (HMRC). You must comply with the provisions of Section 3(f) of this Agreement with respect to any Withholding Tax obligations that arise as a result of the grant, vesting or exercise of the Options.</w:t>
      </w:r>
    </w:p>
    <w:p>
      <w:pPr>
        <w:spacing w:after="0" w:line="219" w:lineRule="exact"/>
        <w:rPr>
          <w:rFonts w:ascii="Arial" w:cs="Arial" w:eastAsia="Arial" w:hAnsi="Arial"/>
          <w:sz w:val="20"/>
          <w:szCs w:val="20"/>
          <w:color w:val="auto"/>
        </w:rPr>
      </w:pPr>
    </w:p>
    <w:p>
      <w:pPr>
        <w:jc w:val="both"/>
        <w:ind w:right="20" w:firstLine="8"/>
        <w:spacing w:after="0" w:line="242" w:lineRule="auto"/>
        <w:tabs>
          <w:tab w:leader="none" w:pos="46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Nonqualified Options</w:t>
      </w:r>
      <w:r>
        <w:rPr>
          <w:rFonts w:ascii="Arial" w:cs="Arial" w:eastAsia="Arial" w:hAnsi="Arial"/>
          <w:sz w:val="20"/>
          <w:szCs w:val="20"/>
          <w:color w:val="auto"/>
        </w:rPr>
        <w:t xml:space="preserve">. If the correlating Notice provides that the Options are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intended to qualify as incentive stock options within the meaning of Section 422 of the Code, this Agreement shall be so construed. In such case, by accepting the Options you acknowledge that, if you are as of the Grant Date, or subsequently become prior to exercise, a U.S. taxpayer for federal tax purposes, then upon exercise of the Options, you will recognize ordinary income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380"/>
          </w:cols>
          <w:pgMar w:left="240" w:top="575" w:right="279" w:bottom="1440" w:gutter="0" w:footer="0" w:header="0"/>
        </w:sectPr>
      </w:pPr>
    </w:p>
    <w:bookmarkStart w:id="45" w:name="page46"/>
    <w:bookmarkEnd w:id="45"/>
    <w:p>
      <w:pPr>
        <w:ind w:right="280"/>
        <w:spacing w:after="0" w:line="243" w:lineRule="auto"/>
        <w:rPr>
          <w:sz w:val="20"/>
          <w:szCs w:val="20"/>
          <w:color w:val="auto"/>
        </w:rPr>
      </w:pPr>
      <w:r>
        <w:rPr>
          <w:rFonts w:ascii="Arial" w:cs="Arial" w:eastAsia="Arial" w:hAnsi="Arial"/>
          <w:sz w:val="20"/>
          <w:szCs w:val="20"/>
          <w:color w:val="auto"/>
        </w:rPr>
        <w:t>in an amount equal to the excess, if any, of the Fair Market Value, as measured on the exercise date, of the shares of Common Stock purchased over the aggregate purchase price paid. If you are a taxpayer in any other jurisdiction, the taxation of your Options may be different.</w:t>
      </w:r>
    </w:p>
    <w:p>
      <w:pPr>
        <w:spacing w:after="0" w:line="220" w:lineRule="exact"/>
        <w:rPr>
          <w:sz w:val="20"/>
          <w:szCs w:val="20"/>
          <w:color w:val="auto"/>
        </w:rPr>
      </w:pPr>
    </w:p>
    <w:p>
      <w:pPr>
        <w:ind w:right="20" w:firstLine="8"/>
        <w:spacing w:after="0"/>
        <w:tabs>
          <w:tab w:leader="none" w:pos="451"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Incentive Stock Options</w:t>
      </w:r>
      <w:r>
        <w:rPr>
          <w:rFonts w:ascii="Arial" w:cs="Arial" w:eastAsia="Arial" w:hAnsi="Arial"/>
          <w:sz w:val="20"/>
          <w:szCs w:val="20"/>
          <w:color w:val="auto"/>
        </w:rPr>
        <w:t xml:space="preserve">. If the correlating Notice provides that the Options </w:t>
      </w:r>
      <w:r>
        <w:rPr>
          <w:rFonts w:ascii="Arial" w:cs="Arial" w:eastAsia="Arial" w:hAnsi="Arial"/>
          <w:sz w:val="20"/>
          <w:szCs w:val="20"/>
          <w:u w:val="single" w:color="auto"/>
          <w:color w:val="auto"/>
        </w:rPr>
        <w:t>are</w:t>
      </w:r>
      <w:r>
        <w:rPr>
          <w:rFonts w:ascii="Arial" w:cs="Arial" w:eastAsia="Arial" w:hAnsi="Arial"/>
          <w:sz w:val="20"/>
          <w:szCs w:val="20"/>
          <w:color w:val="auto"/>
        </w:rPr>
        <w:t xml:space="preserve"> intended to qualify as incentive stock options within the meaning of Section 422 of the Code and you are as of the Grant Date, or subsequently become prior to exercise, a U.S. taxpayer for federal tax purposes, then this Agreement shall be so construed to the fullest extent permitted by Section 422 of the Code, including the application of the limit provided by Section 422(d) of the Code. The Company, however, does not warrant any particular tax consequences of the Options. Section 422 of the Code provides limitations and other requirements, not set forth in this Agreement, respecting the treatment of the Options as incentive stock options. You should consult with your personal tax advisors in this regard. The quantity limitation and employment requirement pertaining to incentive stock options are outlined below.</w:t>
      </w:r>
    </w:p>
    <w:p>
      <w:pPr>
        <w:spacing w:after="0" w:line="226" w:lineRule="exact"/>
        <w:rPr>
          <w:sz w:val="20"/>
          <w:szCs w:val="20"/>
          <w:color w:val="auto"/>
        </w:rPr>
      </w:pPr>
    </w:p>
    <w:p>
      <w:pPr>
        <w:ind w:firstLine="8"/>
        <w:spacing w:after="0"/>
        <w:tabs>
          <w:tab w:leader="none" w:pos="39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Quantity Limitation</w:t>
      </w:r>
      <w:r>
        <w:rPr>
          <w:rFonts w:ascii="Arial" w:cs="Arial" w:eastAsia="Arial" w:hAnsi="Arial"/>
          <w:sz w:val="20"/>
          <w:szCs w:val="20"/>
          <w:color w:val="auto"/>
        </w:rPr>
        <w:t>. Pursuant to Section 422(d) of the Code, the aggregate fair market value (determined as of the Grant Date) of shares of Common Stock with respect to which all incentive stock options first become exercisable by you in any calendar year under the Plan or any other plan of the Company (and its parent and subsidiary corporations, within the meaning of Section 424(e) and 424(f) of the Code, as may exist from time to time) may not exceed $100,000 or such other amount as may be permitted from time to time under Section 422 of the Code. To the extent that such aggregate fair market value exceeds $100,000 or such other applicable amount in any calendar year, such stock options will be treated as nonqualified stock options with respect to the amount of aggregate fair market value thereof that exceeds the Code Section 422(d) limit. For this purpose, the incentive stock options will be taken into account in the order in which they were granted. The Company may designate the shares of Common Stock that are to be treated as stock acquired pursuant to the exercise of incentive stock options and the shares of Common Stock that are to be treated as stock acquired pursuant to nonqualified stock options by issuing separate certificates for such shares and identifying the certificates as such in the stock transfer records of the Company or by any other appropriate notation in the records of the Company.</w:t>
      </w:r>
    </w:p>
    <w:p>
      <w:pPr>
        <w:spacing w:after="0" w:line="224" w:lineRule="exact"/>
        <w:rPr>
          <w:rFonts w:ascii="Arial" w:cs="Arial" w:eastAsia="Arial" w:hAnsi="Arial"/>
          <w:sz w:val="20"/>
          <w:szCs w:val="20"/>
          <w:color w:val="auto"/>
        </w:rPr>
      </w:pPr>
    </w:p>
    <w:p>
      <w:pPr>
        <w:ind w:left="440" w:hanging="432"/>
        <w:spacing w:after="0"/>
        <w:tabs>
          <w:tab w:leader="none" w:pos="44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Employment Requirement</w:t>
      </w:r>
      <w:r>
        <w:rPr>
          <w:rFonts w:ascii="Arial" w:cs="Arial" w:eastAsia="Arial" w:hAnsi="Arial"/>
          <w:sz w:val="20"/>
          <w:szCs w:val="20"/>
          <w:color w:val="auto"/>
        </w:rPr>
        <w:t>. Except with respect to exercise after your death or Termination of Service due to Total and</w:t>
      </w:r>
    </w:p>
    <w:p>
      <w:pPr>
        <w:ind w:right="160"/>
        <w:spacing w:after="0" w:line="252" w:lineRule="auto"/>
        <w:rPr>
          <w:rFonts w:ascii="Arial" w:cs="Arial" w:eastAsia="Arial" w:hAnsi="Arial"/>
          <w:sz w:val="20"/>
          <w:szCs w:val="20"/>
          <w:color w:val="auto"/>
        </w:rPr>
      </w:pPr>
      <w:r>
        <w:rPr>
          <w:rFonts w:ascii="Arial" w:cs="Arial" w:eastAsia="Arial" w:hAnsi="Arial"/>
          <w:sz w:val="19"/>
          <w:szCs w:val="19"/>
          <w:color w:val="auto"/>
        </w:rPr>
        <w:t>Permanent Disability, at all times during the period beginning with the Grant Date of an incentive stock option and ending on the day three months before the date of exercise, you must be an employee of Price Group or a subsidiary, as that term is defined in Section 424(f) of the Code, in order for the Option to be treated as an incentive stock option for U.S. federal tax purposes.</w:t>
      </w:r>
    </w:p>
    <w:p>
      <w:pPr>
        <w:ind w:right="40"/>
        <w:spacing w:after="0" w:line="241" w:lineRule="auto"/>
        <w:rPr>
          <w:rFonts w:ascii="Arial" w:cs="Arial" w:eastAsia="Arial" w:hAnsi="Arial"/>
          <w:sz w:val="20"/>
          <w:szCs w:val="20"/>
          <w:color w:val="auto"/>
        </w:rPr>
      </w:pPr>
      <w:r>
        <w:rPr>
          <w:rFonts w:ascii="Arial" w:cs="Arial" w:eastAsia="Arial" w:hAnsi="Arial"/>
          <w:sz w:val="20"/>
          <w:szCs w:val="20"/>
          <w:color w:val="auto"/>
        </w:rPr>
        <w:t>Therefore, any part of the Options designated as intended to be incentive stock options which is not exercised either during your Service with Price Group or a subsidiary or within three months after your Termination of Service with Price Group or a subsidiary will not be treated as an incentive stock option for U.S. federal tax purposes when exercised. Similarly, if the entity with which you are employed ceases to be a subsidiary of Price Group, as that term is defined in Section 424(f) of the Code, then the Options will be treated as nonqualified stock options unless exercised within three months of such cessation.</w:t>
      </w:r>
    </w:p>
    <w:p>
      <w:pPr>
        <w:spacing w:after="0" w:line="223"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Adjustments for Corporate Transactions and Other Events</w:t>
      </w:r>
      <w:r>
        <w:rPr>
          <w:rFonts w:ascii="Arial" w:cs="Arial" w:eastAsia="Arial" w:hAnsi="Arial"/>
          <w:sz w:val="20"/>
          <w:szCs w:val="20"/>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00"/>
          </w:cols>
          <w:pgMar w:left="240" w:top="595" w:right="259" w:bottom="1440" w:gutter="0" w:footer="0" w:header="0"/>
        </w:sectPr>
      </w:pPr>
    </w:p>
    <w:bookmarkStart w:id="46" w:name="page47"/>
    <w:bookmarkEnd w:id="46"/>
    <w:p>
      <w:pPr>
        <w:ind w:right="140" w:firstLine="8"/>
        <w:spacing w:after="0"/>
        <w:tabs>
          <w:tab w:leader="none" w:pos="462"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Mandatory Adjustments</w:t>
      </w:r>
      <w:r>
        <w:rPr>
          <w:rFonts w:ascii="Arial" w:cs="Arial" w:eastAsia="Arial" w:hAnsi="Arial"/>
          <w:sz w:val="20"/>
          <w:szCs w:val="20"/>
          <w:color w:val="auto"/>
        </w:rPr>
        <w:t>. Subject to rule 28 of the Sub-Plan, in the event of a capitalisation issue, rights issue, rights offer or bonus issue and a sub-division, consolidation or reduction in the capital of Price Group but excluding a capitalisation issue in substitution for or as an alternative to a cash dividend (each, a “</w:t>
      </w:r>
      <w:r>
        <w:rPr>
          <w:rFonts w:ascii="Arial" w:cs="Arial" w:eastAsia="Arial" w:hAnsi="Arial"/>
          <w:sz w:val="20"/>
          <w:szCs w:val="20"/>
          <w:b w:val="1"/>
          <w:bCs w:val="1"/>
          <w:i w:val="1"/>
          <w:iCs w:val="1"/>
          <w:color w:val="auto"/>
        </w:rPr>
        <w:t>Share Change</w:t>
      </w:r>
      <w:r>
        <w:rPr>
          <w:rFonts w:ascii="Arial" w:cs="Arial" w:eastAsia="Arial" w:hAnsi="Arial"/>
          <w:sz w:val="20"/>
          <w:szCs w:val="20"/>
          <w:color w:val="auto"/>
        </w:rPr>
        <w:t xml:space="preserve">”), the Committee shall make equitable and appropriate proportionate adjustments to the number of outstanding Options, the purchase price per share, and the number of Options eligible to vest on each subsequent vesting date under the vesting schedule set forth on the Notice to reflect such event;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fractional Options resulting from any such adjustment shall be eliminated. Adjustments under this paragraph will be made by the Committee, whose determination as to what adjustments will be made and the extent thereof will be final, binding and conclusive.</w:t>
      </w:r>
    </w:p>
    <w:p>
      <w:pPr>
        <w:spacing w:after="0" w:line="226" w:lineRule="exact"/>
        <w:rPr>
          <w:rFonts w:ascii="Arial" w:cs="Arial" w:eastAsia="Arial" w:hAnsi="Arial"/>
          <w:sz w:val="20"/>
          <w:szCs w:val="20"/>
          <w:color w:val="auto"/>
        </w:rPr>
      </w:pPr>
    </w:p>
    <w:p>
      <w:pPr>
        <w:ind w:right="960" w:firstLine="8"/>
        <w:spacing w:after="0" w:line="247" w:lineRule="auto"/>
        <w:tabs>
          <w:tab w:leader="none" w:pos="462"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Dissolution or Liquidation</w:t>
      </w:r>
      <w:r>
        <w:rPr>
          <w:rFonts w:ascii="Arial" w:cs="Arial" w:eastAsia="Arial" w:hAnsi="Arial"/>
          <w:sz w:val="20"/>
          <w:szCs w:val="20"/>
          <w:color w:val="auto"/>
        </w:rPr>
        <w:t>. Unless the Committee determines otherwise, all of the Options shall terminate upon the dissolution or liquidation of Price Group.</w:t>
      </w:r>
    </w:p>
    <w:p>
      <w:pPr>
        <w:spacing w:after="0" w:line="215" w:lineRule="exact"/>
        <w:rPr>
          <w:rFonts w:ascii="Arial" w:cs="Arial" w:eastAsia="Arial" w:hAnsi="Arial"/>
          <w:sz w:val="20"/>
          <w:szCs w:val="20"/>
          <w:color w:val="auto"/>
        </w:rPr>
      </w:pPr>
    </w:p>
    <w:p>
      <w:pPr>
        <w:ind w:firstLine="8"/>
        <w:spacing w:after="0"/>
        <w:tabs>
          <w:tab w:leader="none" w:pos="28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anything in this Agreement, the Plan or the Sub-Plan to the contrary, in the event that a Change in Control occurs, outstanding Options will terminate upon the effective time of such Change in Control unless provision is made in connection with the transaction for the exchange of Options in accordance with Rule 26.1 of the Sub-Plan. In the event of such termination of the outstanding Options, (i) the outstanding Options that will terminate upon the effective time of the Change in Control shall, immediately before the effective time of the Change in Control, become fully exercisable, (ii) you will be permitted, immediately before the Change in Control, to exercise the Options, and (iii)any such Options that you do not exercise will terminate upon the effective time of the Change of Control.. Implementation of the provisions of the immediately foregoing sentence shall be conditioned upon consummation of the Change in Control. In the event that provision is made in connection with the Change of Control transaction for the exchange of Options in accordance with Rule 26.1 of the Sub-Plan, if you do not exchange your Option within the period set out in Rule 26.2 of the Sub-Plan, it will lapse at the end of that period.</w:t>
      </w:r>
    </w:p>
    <w:p>
      <w:pPr>
        <w:spacing w:after="0" w:line="225" w:lineRule="exact"/>
        <w:rPr>
          <w:rFonts w:ascii="Arial" w:cs="Arial" w:eastAsia="Arial" w:hAnsi="Arial"/>
          <w:sz w:val="20"/>
          <w:szCs w:val="20"/>
          <w:color w:val="auto"/>
        </w:rPr>
      </w:pPr>
    </w:p>
    <w:p>
      <w:pPr>
        <w:ind w:right="100" w:firstLine="656"/>
        <w:spacing w:after="0" w:line="241" w:lineRule="auto"/>
        <w:tabs>
          <w:tab w:leader="none" w:pos="1143"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Non-Guarantee of Employment</w:t>
      </w:r>
      <w:r>
        <w:rPr>
          <w:rFonts w:ascii="Arial" w:cs="Arial" w:eastAsia="Arial" w:hAnsi="Arial"/>
          <w:sz w:val="20"/>
          <w:szCs w:val="20"/>
          <w:color w:val="auto"/>
        </w:rPr>
        <w:t>. Nothing in the Plan, the Sub-Plan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Options or any other adverse effect on your interests under the Plan or the Sub-Plan.</w:t>
      </w:r>
    </w:p>
    <w:p>
      <w:pPr>
        <w:spacing w:after="0" w:line="222" w:lineRule="exact"/>
        <w:rPr>
          <w:rFonts w:ascii="Arial" w:cs="Arial" w:eastAsia="Arial" w:hAnsi="Arial"/>
          <w:sz w:val="20"/>
          <w:szCs w:val="20"/>
          <w:color w:val="auto"/>
        </w:rPr>
      </w:pPr>
    </w:p>
    <w:p>
      <w:pPr>
        <w:ind w:right="100" w:firstLine="656"/>
        <w:spacing w:after="0" w:line="242" w:lineRule="auto"/>
        <w:tabs>
          <w:tab w:leader="none" w:pos="1143"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You shall not have any of the rights of a stockholder with respect to the shares of Common Stock subject to purchase under the Options until such shares have been issued to you upon the due exercise of the Options. No adjustment will be made for dividends or distributions or other rights for which the record date is prior to the date such shares are issued to you.</w:t>
      </w:r>
    </w:p>
    <w:p>
      <w:pPr>
        <w:spacing w:after="0" w:line="220" w:lineRule="exact"/>
        <w:rPr>
          <w:rFonts w:ascii="Arial" w:cs="Arial" w:eastAsia="Arial" w:hAnsi="Arial"/>
          <w:sz w:val="20"/>
          <w:szCs w:val="20"/>
          <w:color w:val="auto"/>
        </w:rPr>
      </w:pPr>
    </w:p>
    <w:p>
      <w:pPr>
        <w:ind w:right="20" w:firstLine="656"/>
        <w:spacing w:after="0" w:line="242" w:lineRule="auto"/>
        <w:tabs>
          <w:tab w:leader="none" w:pos="1143"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The Company’s Rights</w:t>
      </w:r>
      <w:r>
        <w:rPr>
          <w:rFonts w:ascii="Arial" w:cs="Arial" w:eastAsia="Arial" w:hAnsi="Arial"/>
          <w:sz w:val="20"/>
          <w:szCs w:val="20"/>
          <w:color w:val="auto"/>
        </w:rPr>
        <w:t>. The existence of the Options will not affect in any way the right or power of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00"/>
          </w:cols>
          <w:pgMar w:left="240" w:top="595" w:right="259" w:bottom="1440" w:gutter="0" w:footer="0" w:header="0"/>
        </w:sectPr>
      </w:pPr>
    </w:p>
    <w:bookmarkStart w:id="47" w:name="page48"/>
    <w:bookmarkEnd w:id="47"/>
    <w:p>
      <w:pPr>
        <w:spacing w:after="0" w:line="247" w:lineRule="auto"/>
        <w:rPr>
          <w:sz w:val="20"/>
          <w:szCs w:val="20"/>
          <w:color w:val="auto"/>
        </w:rPr>
      </w:pPr>
      <w:r>
        <w:rPr>
          <w:rFonts w:ascii="Arial" w:cs="Arial" w:eastAsia="Arial" w:hAnsi="Arial"/>
          <w:sz w:val="20"/>
          <w:szCs w:val="20"/>
          <w:color w:val="auto"/>
        </w:rPr>
        <w:t>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215" w:lineRule="exact"/>
        <w:rPr>
          <w:sz w:val="20"/>
          <w:szCs w:val="20"/>
          <w:color w:val="auto"/>
        </w:rPr>
      </w:pPr>
    </w:p>
    <w:p>
      <w:pPr>
        <w:ind w:right="60" w:firstLine="656"/>
        <w:spacing w:after="0" w:line="241" w:lineRule="auto"/>
        <w:tabs>
          <w:tab w:leader="none" w:pos="1143"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221" w:lineRule="exact"/>
        <w:rPr>
          <w:rFonts w:ascii="Arial" w:cs="Arial" w:eastAsia="Arial" w:hAnsi="Arial"/>
          <w:sz w:val="20"/>
          <w:szCs w:val="20"/>
          <w:color w:val="auto"/>
        </w:rPr>
      </w:pPr>
    </w:p>
    <w:p>
      <w:pPr>
        <w:ind w:left="1160" w:hanging="504"/>
        <w:spacing w:after="0"/>
        <w:tabs>
          <w:tab w:leader="none" w:pos="116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Electronic Delivery of Documents</w:t>
      </w:r>
      <w:r>
        <w:rPr>
          <w:rFonts w:ascii="Arial" w:cs="Arial" w:eastAsia="Arial" w:hAnsi="Arial"/>
          <w:sz w:val="20"/>
          <w:szCs w:val="20"/>
          <w:color w:val="auto"/>
        </w:rPr>
        <w:t>.</w:t>
      </w:r>
    </w:p>
    <w:p>
      <w:pPr>
        <w:spacing w:after="0" w:line="229" w:lineRule="exact"/>
        <w:rPr>
          <w:sz w:val="20"/>
          <w:szCs w:val="20"/>
          <w:color w:val="auto"/>
        </w:rPr>
      </w:pPr>
    </w:p>
    <w:p>
      <w:pPr>
        <w:ind w:right="260" w:firstLine="656"/>
        <w:spacing w:after="0" w:line="241" w:lineRule="auto"/>
        <w:tabs>
          <w:tab w:leader="none" w:pos="111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Methods of Delivery</w:t>
      </w:r>
      <w:r>
        <w:rPr>
          <w:rFonts w:ascii="Arial" w:cs="Arial" w:eastAsia="Arial" w:hAnsi="Arial"/>
          <w:sz w:val="20"/>
          <w:szCs w:val="20"/>
          <w:color w:val="auto"/>
        </w:rPr>
        <w:t>. The Company may from time to time electronically deliver, via e-mail or posting on the Company’s website, these Terms, information with respect to the Plan, the Sub-Plan or the Options,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221" w:lineRule="exact"/>
        <w:rPr>
          <w:rFonts w:ascii="Arial" w:cs="Arial" w:eastAsia="Arial" w:hAnsi="Arial"/>
          <w:sz w:val="20"/>
          <w:szCs w:val="20"/>
          <w:color w:val="auto"/>
        </w:rPr>
      </w:pPr>
    </w:p>
    <w:p>
      <w:pPr>
        <w:ind w:right="80" w:firstLine="656"/>
        <w:spacing w:after="0"/>
        <w:tabs>
          <w:tab w:leader="none" w:pos="111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Consent and Acknowledgment</w:t>
      </w:r>
      <w:r>
        <w:rPr>
          <w:rFonts w:ascii="Arial" w:cs="Arial" w:eastAsia="Arial" w:hAnsi="Arial"/>
          <w:sz w:val="20"/>
          <w:szCs w:val="20"/>
          <w:color w:val="auto"/>
        </w:rPr>
        <w:t>. By your accepting the Notice correlating to these Terms, you (i) consent to the electronic delivery of this Agreement, all information with respect to the Plan, the Sub-Plan and the Options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27" w:lineRule="exact"/>
        <w:rPr>
          <w:sz w:val="20"/>
          <w:szCs w:val="20"/>
          <w:color w:val="auto"/>
        </w:rPr>
      </w:pPr>
    </w:p>
    <w:p>
      <w:pPr>
        <w:ind w:right="260" w:firstLine="656"/>
        <w:spacing w:after="0" w:line="239" w:lineRule="auto"/>
        <w:tabs>
          <w:tab w:leader="none" w:pos="1143"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Recoupment</w:t>
      </w:r>
      <w:r>
        <w:rPr>
          <w:rFonts w:ascii="Arial" w:cs="Arial" w:eastAsia="Arial" w:hAnsi="Arial"/>
          <w:sz w:val="20"/>
          <w:szCs w:val="20"/>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20"/>
          <w:szCs w:val="20"/>
          <w:b w:val="1"/>
          <w:bCs w:val="1"/>
          <w:i w:val="1"/>
          <w:iCs w:val="1"/>
          <w:color w:val="auto"/>
        </w:rPr>
        <w:t>Recoupment Policy</w:t>
      </w:r>
      <w:r>
        <w:rPr>
          <w:rFonts w:ascii="Arial" w:cs="Arial" w:eastAsia="Arial" w:hAnsi="Arial"/>
          <w:sz w:val="20"/>
          <w:szCs w:val="20"/>
          <w:color w:val="auto"/>
        </w:rPr>
        <w:t>”), are incorporated by reference into this Agreement and shall apply to your Options if you on the Grant Date are or subsequently become an executive officer or other senior executive who is subject to the Recoupment Policy. In the event of there being a material restatement of Price Group’s accounts for a period (as confirmed by Price Group’s auditors), Price Group will ensure that it acts fairly and reasonably if it determines that had the accounts been correctly stated in the first instance, then you would not have been granted an Option or would have been granted an Option in respect of fewer Shares, that the Option will lapse to that extent, unless Price Group determines otherwise.</w:t>
      </w:r>
    </w:p>
    <w:p>
      <w:pPr>
        <w:spacing w:after="0" w:line="4" w:lineRule="exact"/>
        <w:rPr>
          <w:rFonts w:ascii="Arial" w:cs="Arial" w:eastAsia="Arial" w:hAnsi="Arial"/>
          <w:sz w:val="20"/>
          <w:szCs w:val="20"/>
          <w:color w:val="auto"/>
        </w:rPr>
      </w:pPr>
    </w:p>
    <w:p>
      <w:pPr>
        <w:ind w:right="180" w:firstLine="656"/>
        <w:spacing w:after="0" w:line="262" w:lineRule="auto"/>
        <w:tabs>
          <w:tab w:leader="none" w:pos="1143"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correlating Notice and the Plan, contain the entire agreement between you and the Company with respect to the Options awarded hereunder. Any oral or written agreements, representations, warranties, written inducements, or other communications made prior to the acceptance of the Notice correlating to</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20"/>
          </w:cols>
          <w:pgMar w:left="240" w:top="595" w:right="23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these Terms with respect to the Options awarded hereunder shall be void and ineffective for all purposes.</w:t>
      </w:r>
    </w:p>
    <w:p>
      <w:pPr>
        <w:spacing w:after="0" w:line="229" w:lineRule="exact"/>
        <w:rPr>
          <w:sz w:val="20"/>
          <w:szCs w:val="20"/>
          <w:color w:val="auto"/>
        </w:rPr>
      </w:pPr>
    </w:p>
    <w:p>
      <w:pPr>
        <w:jc w:val="both"/>
        <w:ind w:firstLine="8"/>
        <w:spacing w:after="0"/>
        <w:tabs>
          <w:tab w:leader="none" w:pos="495"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Notwithstanding Section 7(c) of the Plan, no amendments to a Key Feature of the Sub-Plan, whether taking the form of an amendment of the Plan, the Sub-Plan or these Terms, shall take effect until they have been approved by HM Revenue and Customs. Subject to this, except as otherwise provided in the Plan or the Sub-Plan, the Committee may unilaterally amend the terms of this Agreement, but no such amendment shall materially impair your rights with respect to your Options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Sub-Plan and approved by the Committee and the Board of HM Revenue and Customs.</w:t>
      </w:r>
    </w:p>
    <w:p>
      <w:pPr>
        <w:spacing w:after="0" w:line="225" w:lineRule="exact"/>
        <w:rPr>
          <w:rFonts w:ascii="Arial" w:cs="Arial" w:eastAsia="Arial" w:hAnsi="Arial"/>
          <w:sz w:val="20"/>
          <w:szCs w:val="20"/>
          <w:color w:val="auto"/>
        </w:rPr>
      </w:pPr>
    </w:p>
    <w:p>
      <w:pPr>
        <w:ind w:right="40" w:firstLine="656"/>
        <w:spacing w:after="0" w:line="241" w:lineRule="auto"/>
        <w:tabs>
          <w:tab w:leader="none" w:pos="1143"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Conformity with the Plan and the Sub-Plan</w:t>
      </w:r>
      <w:r>
        <w:rPr>
          <w:rFonts w:ascii="Arial" w:cs="Arial" w:eastAsia="Arial" w:hAnsi="Arial"/>
          <w:sz w:val="20"/>
          <w:szCs w:val="20"/>
          <w:color w:val="auto"/>
        </w:rPr>
        <w:t xml:space="preserve">. These Terms are intended to conform with, and are subject to all applicable provisions of, the Plan and the Sub-Plan. In the event of any ambiguity in these Terms or any matters as to which these Terms are silent, the Sub-Plan shall govern. A copy of the Sub-Plan is available at </w:t>
      </w:r>
      <w:r>
        <w:rPr>
          <w:rFonts w:ascii="Arial" w:cs="Arial" w:eastAsia="Arial" w:hAnsi="Arial"/>
          <w:sz w:val="20"/>
          <w:szCs w:val="20"/>
          <w:u w:val="single" w:color="auto"/>
          <w:color w:val="auto"/>
        </w:rPr>
        <w:t>https://home2.troweprice.com/tsso/tssoweb/SSOServlet</w:t>
      </w:r>
      <w:r>
        <w:rPr>
          <w:rFonts w:ascii="Arial" w:cs="Arial" w:eastAsia="Arial" w:hAnsi="Arial"/>
          <w:sz w:val="20"/>
          <w:szCs w:val="20"/>
          <w:color w:val="auto"/>
        </w:rPr>
        <w:t xml:space="preserve"> or in hard copy upon request to the Company’s Payroll and Stock Transaction Group in the CFO-Finance Department in the Baltimore, Maryland – Pratt Street office or by telephone, at 410-345-7716.</w:t>
      </w:r>
    </w:p>
    <w:p>
      <w:pPr>
        <w:spacing w:after="0" w:line="221" w:lineRule="exact"/>
        <w:rPr>
          <w:rFonts w:ascii="Arial" w:cs="Arial" w:eastAsia="Arial" w:hAnsi="Arial"/>
          <w:sz w:val="20"/>
          <w:szCs w:val="20"/>
          <w:color w:val="auto"/>
        </w:rPr>
      </w:pPr>
    </w:p>
    <w:p>
      <w:pPr>
        <w:ind w:right="80" w:firstLine="656"/>
        <w:spacing w:after="0"/>
        <w:tabs>
          <w:tab w:leader="none" w:pos="1143"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226" w:lineRule="exact"/>
        <w:rPr>
          <w:rFonts w:ascii="Arial" w:cs="Arial" w:eastAsia="Arial" w:hAnsi="Arial"/>
          <w:sz w:val="20"/>
          <w:szCs w:val="20"/>
          <w:color w:val="auto"/>
        </w:rPr>
      </w:pPr>
    </w:p>
    <w:p>
      <w:pPr>
        <w:ind w:right="60" w:firstLine="656"/>
        <w:spacing w:after="0"/>
        <w:tabs>
          <w:tab w:leader="none" w:pos="1143"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Resolution of Disputes</w:t>
      </w:r>
      <w:r>
        <w:rPr>
          <w:rFonts w:ascii="Arial" w:cs="Arial" w:eastAsia="Arial" w:hAnsi="Arial"/>
          <w:sz w:val="20"/>
          <w:szCs w:val="20"/>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20"/>
          </w:cols>
          <w:pgMar w:left="240" w:top="595" w:right="2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commenced or maintained relating to this Agreement more than 24 months after the Committee’s decision.</w:t>
      </w:r>
    </w:p>
    <w:p>
      <w:pPr>
        <w:spacing w:after="0" w:line="229" w:lineRule="exact"/>
        <w:rPr>
          <w:sz w:val="20"/>
          <w:szCs w:val="20"/>
          <w:color w:val="auto"/>
        </w:rPr>
      </w:pPr>
    </w:p>
    <w:p>
      <w:pPr>
        <w:ind w:right="120" w:firstLine="656"/>
        <w:spacing w:after="0" w:line="242" w:lineRule="auto"/>
        <w:tabs>
          <w:tab w:leader="none" w:pos="1143"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Preemption of Applicable Laws or Regulations</w:t>
      </w:r>
      <w:r>
        <w:rPr>
          <w:rFonts w:ascii="Arial" w:cs="Arial" w:eastAsia="Arial" w:hAnsi="Arial"/>
          <w:sz w:val="20"/>
          <w:szCs w:val="20"/>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220" w:lineRule="exact"/>
        <w:rPr>
          <w:rFonts w:ascii="Arial" w:cs="Arial" w:eastAsia="Arial" w:hAnsi="Arial"/>
          <w:sz w:val="20"/>
          <w:szCs w:val="20"/>
          <w:color w:val="auto"/>
        </w:rPr>
      </w:pPr>
    </w:p>
    <w:p>
      <w:pPr>
        <w:ind w:right="260" w:firstLine="656"/>
        <w:spacing w:after="0"/>
        <w:tabs>
          <w:tab w:leader="none" w:pos="1143"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409A Savings Clause</w:t>
      </w:r>
      <w:r>
        <w:rPr>
          <w:rFonts w:ascii="Arial" w:cs="Arial" w:eastAsia="Arial" w:hAnsi="Arial"/>
          <w:sz w:val="20"/>
          <w:szCs w:val="20"/>
          <w:color w:val="auto"/>
        </w:rPr>
        <w:t>. This Agreement and the Options awarded hereunder are intended to comply with, or otherwise be exempt from, Section 409A of the Code. This Agreement and the Options shall be administered, interpreted and construed in a manner consistent with this intent. Nothing in the Plan, the Sub-Plan or this Agreement shall be construed as including any feature for the deferral of compensation other than the deferral of recognition of income until the exercise of the Options. Should any provision of this Agreement or the Options be found not to comply with, or otherwise be exempt from, the provisions of Section 409A of the Code, it may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Options.</w:t>
      </w:r>
    </w:p>
    <w:p>
      <w:pPr>
        <w:spacing w:after="0" w:line="226" w:lineRule="exact"/>
        <w:rPr>
          <w:rFonts w:ascii="Arial" w:cs="Arial" w:eastAsia="Arial" w:hAnsi="Arial"/>
          <w:sz w:val="20"/>
          <w:szCs w:val="20"/>
          <w:color w:val="auto"/>
        </w:rPr>
      </w:pPr>
    </w:p>
    <w:p>
      <w:pPr>
        <w:ind w:right="160" w:firstLine="656"/>
        <w:spacing w:after="0" w:line="239" w:lineRule="auto"/>
        <w:tabs>
          <w:tab w:leader="none" w:pos="1143"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Service and Employment Acknowledgments</w:t>
      </w:r>
      <w:r>
        <w:rPr>
          <w:rFonts w:ascii="Arial" w:cs="Arial" w:eastAsia="Arial" w:hAnsi="Arial"/>
          <w:sz w:val="20"/>
          <w:szCs w:val="20"/>
          <w:color w:val="auto"/>
        </w:rPr>
        <w:t>. By accepting the Notice, you acknowledge and agree that: (i) the Plan and the Sub-Plan are established voluntarily by the Company, is discretionary in nature and may be modified, amended, suspended or terminated by the Company at any time, unless otherwise provided in the Plan, the Sub-Plan or this Agreement;</w:t>
      </w:r>
    </w:p>
    <w:p>
      <w:pPr>
        <w:spacing w:after="0" w:line="1" w:lineRule="exact"/>
        <w:rPr>
          <w:rFonts w:ascii="Arial" w:cs="Arial" w:eastAsia="Arial" w:hAnsi="Arial"/>
          <w:sz w:val="20"/>
          <w:szCs w:val="20"/>
          <w:color w:val="auto"/>
        </w:rPr>
      </w:pPr>
    </w:p>
    <w:p>
      <w:pPr>
        <w:ind w:firstLine="8"/>
        <w:spacing w:after="0"/>
        <w:tabs>
          <w:tab w:leader="none" w:pos="275" w:val="left"/>
        </w:tabs>
        <w:numPr>
          <w:ilvl w:val="0"/>
          <w:numId w:val="72"/>
        </w:numPr>
        <w:rPr>
          <w:rFonts w:ascii="Arial" w:cs="Arial" w:eastAsia="Arial" w:hAnsi="Arial"/>
          <w:sz w:val="20"/>
          <w:szCs w:val="20"/>
          <w:color w:val="auto"/>
        </w:rPr>
      </w:pPr>
      <w:r>
        <w:rPr>
          <w:rFonts w:ascii="Arial" w:cs="Arial" w:eastAsia="Arial" w:hAnsi="Arial"/>
          <w:sz w:val="20"/>
          <w:szCs w:val="20"/>
          <w:color w:val="auto"/>
        </w:rPr>
        <w:t>you are voluntarily participating in the Plan and the Sub-Plan (as applicable); (iii) the award of Options is a one-time benefit which does not create any contractual or other right to receive future awards of Options, or compensation or benefits in lieu of Options, even if Options have been awarded repeatedly in the past; (iv) all determinations with respect to any such future awards, including, but not limited to, the times when Options shall be awarded or shall become vested or exercisable and the number of Options subject to each award, will be at the sole discretion of the Committee; (v) the value of the Options is an extraordinary item of compensation which is outside the scope of your employment contract, if any; (vi) the value of the Options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Options ceases upon termination of Service with the Company or transfer of employment from the Company, or other cessation of eligibility for any reason, except as may otherwise be explicitly provided in this Agreement; (viii) the value of the Options and the underlying Shares cannot be predicted with certainty and will change over time and the Company does not guarantee any future value; (ix) if you are not an employee of the Company, the Options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the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00"/>
          </w:cols>
          <w:pgMar w:left="240" w:top="595" w:right="259" w:bottom="1440" w:gutter="0" w:footer="0" w:header="0"/>
        </w:sectPr>
      </w:pPr>
    </w:p>
    <w:bookmarkStart w:id="50" w:name="page51"/>
    <w:bookmarkEnd w:id="50"/>
    <w:p>
      <w:pPr>
        <w:ind w:right="300"/>
        <w:spacing w:after="0" w:line="242" w:lineRule="auto"/>
        <w:rPr>
          <w:sz w:val="20"/>
          <w:szCs w:val="20"/>
          <w:color w:val="auto"/>
        </w:rPr>
      </w:pPr>
      <w:r>
        <w:rPr>
          <w:rFonts w:ascii="Arial" w:cs="Arial" w:eastAsia="Arial" w:hAnsi="Arial"/>
          <w:sz w:val="20"/>
          <w:szCs w:val="20"/>
          <w:color w:val="auto"/>
        </w:rPr>
        <w:t>Sub-Plan or your acquisition or sale of the Shares underlying the Options; and (x) no claim or entitlement to compensation or damages arises if the value of the Options or the underlying Shares decreases and in consideration for the grant of the Options you irrevocably release the Company from any claim or entitlement to compensation or damages that does arise in connection with the Options.</w:t>
      </w:r>
    </w:p>
    <w:p>
      <w:pPr>
        <w:spacing w:after="0" w:line="196" w:lineRule="exact"/>
        <w:rPr>
          <w:sz w:val="20"/>
          <w:szCs w:val="20"/>
          <w:color w:val="auto"/>
        </w:rPr>
      </w:pPr>
    </w:p>
    <w:p>
      <w:pPr>
        <w:ind w:firstLine="656"/>
        <w:spacing w:after="0" w:line="241" w:lineRule="auto"/>
        <w:tabs>
          <w:tab w:leader="none" w:pos="1143" w:val="left"/>
        </w:tabs>
        <w:numPr>
          <w:ilvl w:val="0"/>
          <w:numId w:val="73"/>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Data Privacy Consent</w:t>
      </w:r>
      <w:r>
        <w:rPr>
          <w:rFonts w:ascii="Arial" w:cs="Arial" w:eastAsia="Arial" w:hAnsi="Arial"/>
          <w:sz w:val="20"/>
          <w:szCs w:val="20"/>
          <w:b w:val="1"/>
          <w:bCs w:val="1"/>
          <w:i w:val="1"/>
          <w:iCs w:val="1"/>
          <w:color w:val="auto"/>
        </w:rPr>
        <w:t>. For purposes of the implementation, administration and management of the Options and the Plan (or the Sub-Plan)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Options awarded, cancelled, vested and unvested) is held by the Company and may be transferred to any broker designated by the Committee or third parties assisting in the implementation, administration and management of the Options, the Plan or the Sub-Plan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Options, the Plan or the Sub-Plan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Options or otherwise participate in the Plan or the Sub-Plan.</w:t>
      </w:r>
    </w:p>
    <w:p>
      <w:pPr>
        <w:spacing w:after="0" w:line="222" w:lineRule="exact"/>
        <w:rPr>
          <w:rFonts w:ascii="Arial" w:cs="Arial" w:eastAsia="Arial" w:hAnsi="Arial"/>
          <w:sz w:val="20"/>
          <w:szCs w:val="20"/>
          <w:color w:val="auto"/>
        </w:rPr>
      </w:pPr>
    </w:p>
    <w:p>
      <w:pPr>
        <w:ind w:right="640" w:firstLine="656"/>
        <w:spacing w:after="0" w:line="247" w:lineRule="auto"/>
        <w:tabs>
          <w:tab w:leader="none" w:pos="1143"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Agreement are for reference purposes only and shall not affect the meaning or interpretation of this Agreement.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Glossary begins on next page</w:t>
      </w:r>
      <w:r>
        <w:rPr>
          <w:rFonts w:ascii="Arial" w:cs="Arial" w:eastAsia="Arial" w:hAnsi="Arial"/>
          <w:sz w:val="20"/>
          <w:szCs w:val="20"/>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20"/>
          </w:cols>
          <w:pgMar w:left="240" w:top="595" w:right="2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20"/>
          <w:szCs w:val="20"/>
          <w:color w:val="auto"/>
        </w:rPr>
        <w:t>GLOSSARY</w:t>
      </w:r>
    </w:p>
    <w:p>
      <w:pPr>
        <w:spacing w:after="0" w:line="200" w:lineRule="exact"/>
        <w:rPr>
          <w:sz w:val="20"/>
          <w:szCs w:val="20"/>
          <w:color w:val="auto"/>
        </w:rPr>
      </w:pPr>
    </w:p>
    <w:p>
      <w:pPr>
        <w:spacing w:after="0" w:line="248" w:lineRule="exact"/>
        <w:rPr>
          <w:sz w:val="20"/>
          <w:szCs w:val="20"/>
          <w:color w:val="auto"/>
        </w:rPr>
      </w:pPr>
    </w:p>
    <w:p>
      <w:pPr>
        <w:ind w:left="1300"/>
        <w:spacing w:after="0"/>
        <w:tabs>
          <w:tab w:leader="none" w:pos="34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any entity, whether previously, now or hereafter existing, in which the</w:t>
      </w:r>
    </w:p>
    <w:p>
      <w:pPr>
        <w:spacing w:after="0" w:line="51"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ectPr>
          <w:pgSz w:w="11900" w:h="16838" w:orient="portrait"/>
          <w:cols w:equalWidth="0" w:num="1">
            <w:col w:w="11400"/>
          </w:cols>
          <w:pgMar w:left="240" w:top="595" w:right="259" w:bottom="1440" w:gutter="0" w:footer="0" w:header="0"/>
        </w:sectPr>
      </w:pP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means the contract consisting of the Notice, the Terms, the Sub-Plan and</w:t>
      </w:r>
    </w:p>
    <w:p>
      <w:pPr>
        <w:spacing w:after="0" w:line="62" w:lineRule="exact"/>
        <w:rPr>
          <w:sz w:val="20"/>
          <w:szCs w:val="20"/>
          <w:color w:val="auto"/>
        </w:rPr>
      </w:pPr>
    </w:p>
    <w:p>
      <w:pPr>
        <w:sectPr>
          <w:pgSz w:w="11900" w:h="16838" w:orient="portrait"/>
          <w:cols w:equalWidth="0" w:num="2">
            <w:col w:w="2780" w:space="720"/>
            <w:col w:w="7900"/>
          </w:cols>
          <w:pgMar w:left="240" w:top="595" w:right="259" w:bottom="1440" w:gutter="0" w:footer="0" w:header="0"/>
          <w:type w:val="continuous"/>
        </w:sectPr>
      </w:pPr>
    </w:p>
    <w:p>
      <w:pPr>
        <w:spacing w:after="0"/>
        <w:rPr>
          <w:sz w:val="20"/>
          <w:szCs w:val="20"/>
          <w:color w:val="auto"/>
        </w:rPr>
      </w:pPr>
      <w:r>
        <w:rPr>
          <w:rFonts w:ascii="Arial" w:cs="Arial" w:eastAsia="Arial" w:hAnsi="Arial"/>
          <w:sz w:val="20"/>
          <w:szCs w:val="20"/>
          <w:color w:val="auto"/>
        </w:rPr>
        <w:t>the Plan.</w:t>
      </w:r>
    </w:p>
    <w:p>
      <w:pPr>
        <w:spacing w:after="0" w:line="232" w:lineRule="exact"/>
        <w:rPr>
          <w:sz w:val="20"/>
          <w:szCs w:val="20"/>
          <w:color w:val="auto"/>
        </w:rPr>
      </w:pPr>
    </w:p>
    <w:p>
      <w:pPr>
        <w:ind w:left="1300"/>
        <w:spacing w:after="0"/>
        <w:tabs>
          <w:tab w:leader="none" w:pos="346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means: (i) your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a similar plea) to, or</w:t>
      </w:r>
    </w:p>
    <w:p>
      <w:pPr>
        <w:sectPr>
          <w:pgSz w:w="11900" w:h="16838" w:orient="portrait"/>
          <w:cols w:equalWidth="0" w:num="1">
            <w:col w:w="11400"/>
          </w:cols>
          <w:pgMar w:left="240" w:top="595" w:right="259" w:bottom="1440" w:gutter="0" w:footer="0" w:header="0"/>
          <w:type w:val="continuous"/>
        </w:sectPr>
      </w:pP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 xml:space="preserve">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ectPr>
          <w:pgSz w:w="11900" w:h="16838" w:orient="portrait"/>
          <w:cols w:equalWidth="0" w:num="1">
            <w:col w:w="11400"/>
          </w:cols>
          <w:pgMar w:left="240" w:top="595" w:right="259" w:bottom="1440" w:gutter="0" w:footer="0" w:header="0"/>
          <w:type w:val="continuous"/>
        </w:sectPr>
      </w:pP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has the meaning ascribed to such term in the Plan.</w:t>
      </w:r>
    </w:p>
    <w:p>
      <w:pPr>
        <w:spacing w:after="0" w:line="224" w:lineRule="exact"/>
        <w:rPr>
          <w:sz w:val="20"/>
          <w:szCs w:val="20"/>
          <w:color w:val="auto"/>
        </w:rPr>
      </w:pPr>
    </w:p>
    <w:p>
      <w:pPr>
        <w:sectPr>
          <w:pgSz w:w="11900" w:h="16838" w:orient="portrait"/>
          <w:cols w:equalWidth="0" w:num="2">
            <w:col w:w="2780" w:space="720"/>
            <w:col w:w="7900"/>
          </w:cols>
          <w:pgMar w:left="240" w:top="595" w:right="259" w:bottom="1440" w:gutter="0" w:footer="0" w:header="0"/>
          <w:type w:val="continuous"/>
        </w:sectPr>
      </w:pPr>
    </w:p>
    <w:p>
      <w:pPr>
        <w:spacing w:after="0" w:line="44" w:lineRule="exact"/>
        <w:rPr>
          <w:sz w:val="20"/>
          <w:szCs w:val="20"/>
          <w:color w:val="auto"/>
        </w:rPr>
      </w:pPr>
    </w:p>
    <w:p>
      <w:pPr>
        <w:ind w:left="1300"/>
        <w:spacing w:after="0"/>
        <w:tabs>
          <w:tab w:leader="none" w:pos="34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 from time to time, and</w:t>
      </w:r>
    </w:p>
    <w:p>
      <w:pPr>
        <w:sectPr>
          <w:pgSz w:w="11900" w:h="16838" w:orient="portrait"/>
          <w:cols w:equalWidth="0" w:num="1">
            <w:col w:w="11400"/>
          </w:cols>
          <w:pgMar w:left="240" w:top="595" w:right="259" w:bottom="1440" w:gutter="0" w:footer="0" w:header="0"/>
          <w:type w:val="continuous"/>
        </w:sectPr>
      </w:pPr>
    </w:p>
    <w:p>
      <w:pPr>
        <w:spacing w:after="0" w:line="62" w:lineRule="exact"/>
        <w:rPr>
          <w:sz w:val="20"/>
          <w:szCs w:val="20"/>
          <w:color w:val="auto"/>
        </w:rPr>
      </w:pPr>
    </w:p>
    <w:p>
      <w:pPr>
        <w:ind w:right="420"/>
        <w:spacing w:after="0" w:line="271" w:lineRule="auto"/>
        <w:rPr>
          <w:sz w:val="20"/>
          <w:szCs w:val="20"/>
          <w:color w:val="auto"/>
        </w:rPr>
      </w:pPr>
      <w:r>
        <w:rPr>
          <w:rFonts w:ascii="Arial" w:cs="Arial" w:eastAsia="Arial" w:hAnsi="Arial"/>
          <w:sz w:val="20"/>
          <w:szCs w:val="20"/>
          <w:color w:val="auto"/>
        </w:rPr>
        <w:t>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96" w:lineRule="exact"/>
        <w:rPr>
          <w:sz w:val="20"/>
          <w:szCs w:val="20"/>
          <w:color w:val="auto"/>
        </w:rPr>
      </w:pPr>
    </w:p>
    <w:p>
      <w:pPr>
        <w:ind w:right="100" w:firstLine="1297"/>
        <w:spacing w:after="0" w:line="274" w:lineRule="auto"/>
        <w:rPr>
          <w:sz w:val="20"/>
          <w:szCs w:val="20"/>
          <w:color w:val="auto"/>
        </w:rPr>
      </w:pPr>
      <w:r>
        <w:rPr>
          <w:rFonts w:ascii="Arial" w:cs="Arial" w:eastAsia="Arial" w:hAnsi="Arial"/>
          <w:sz w:val="20"/>
          <w:szCs w:val="20"/>
          <w:color w:val="auto"/>
        </w:rPr>
        <w:t>(f)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at any time the Board may serve as the Committee in lieu of or in addition to the Executive Compensation Committee or such other committee(s) or officer(s) to whom administrative authority has been delegated.</w:t>
      </w:r>
    </w:p>
    <w:p>
      <w:pPr>
        <w:spacing w:after="0" w:line="194" w:lineRule="exact"/>
        <w:rPr>
          <w:sz w:val="20"/>
          <w:szCs w:val="20"/>
          <w:color w:val="auto"/>
        </w:rPr>
      </w:pPr>
    </w:p>
    <w:p>
      <w:pPr>
        <w:ind w:right="20" w:firstLine="1297"/>
        <w:spacing w:after="0" w:line="300" w:lineRule="auto"/>
        <w:rPr>
          <w:sz w:val="20"/>
          <w:szCs w:val="20"/>
          <w:color w:val="auto"/>
        </w:rPr>
      </w:pPr>
      <w:r>
        <w:rPr>
          <w:rFonts w:ascii="Arial" w:cs="Arial" w:eastAsia="Arial" w:hAnsi="Arial"/>
          <w:sz w:val="20"/>
          <w:szCs w:val="20"/>
          <w:color w:val="auto"/>
        </w:rPr>
        <w:t>(g)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means shares of common stock of T. Rowe Price Group, Inc., par value twenty cents ($0.20) per share and any capital securities into which they are converted.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00"/>
          </w:cols>
          <w:pgMar w:left="240" w:top="595" w:right="259" w:bottom="1440" w:gutter="0" w:footer="0" w:header="0"/>
          <w:type w:val="continuous"/>
        </w:sectPr>
      </w:pPr>
    </w:p>
    <w:bookmarkStart w:id="52" w:name="page53"/>
    <w:bookmarkEnd w:id="52"/>
    <w:p>
      <w:pPr>
        <w:jc w:val="both"/>
        <w:ind w:right="280" w:firstLine="1297"/>
        <w:spacing w:after="0" w:line="284" w:lineRule="auto"/>
        <w:rPr>
          <w:sz w:val="20"/>
          <w:szCs w:val="20"/>
          <w:color w:val="auto"/>
        </w:rPr>
      </w:pPr>
      <w:r>
        <w:rPr>
          <w:rFonts w:ascii="Arial" w:cs="Arial" w:eastAsia="Arial" w:hAnsi="Arial"/>
          <w:sz w:val="20"/>
          <w:szCs w:val="20"/>
          <w:color w:val="auto"/>
        </w:rPr>
        <w:t>(h)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83" w:lineRule="exact"/>
        <w:rPr>
          <w:sz w:val="20"/>
          <w:szCs w:val="20"/>
          <w:color w:val="auto"/>
        </w:rPr>
      </w:pPr>
    </w:p>
    <w:p>
      <w:pPr>
        <w:jc w:val="both"/>
        <w:ind w:right="160" w:firstLine="1297"/>
        <w:spacing w:after="0" w:line="284" w:lineRule="auto"/>
        <w:rPr>
          <w:sz w:val="20"/>
          <w:szCs w:val="20"/>
          <w:color w:val="auto"/>
        </w:rPr>
      </w:pPr>
      <w:r>
        <w:rPr>
          <w:rFonts w:ascii="Arial" w:cs="Arial" w:eastAsia="Arial" w:hAnsi="Arial"/>
          <w:sz w:val="20"/>
          <w:szCs w:val="20"/>
          <w:color w:val="auto"/>
        </w:rPr>
        <w:t>(i) “</w:t>
      </w:r>
      <w:r>
        <w:rPr>
          <w:rFonts w:ascii="Arial" w:cs="Arial" w:eastAsia="Arial" w:hAnsi="Arial"/>
          <w:sz w:val="20"/>
          <w:szCs w:val="20"/>
          <w:b w:val="1"/>
          <w:bCs w:val="1"/>
          <w:i w:val="1"/>
          <w:iCs w:val="1"/>
          <w:color w:val="auto"/>
        </w:rPr>
        <w:t>Corporate Transaction</w:t>
      </w:r>
      <w:r>
        <w:rPr>
          <w:rFonts w:ascii="Arial" w:cs="Arial" w:eastAsia="Arial" w:hAnsi="Arial"/>
          <w:sz w:val="20"/>
          <w:szCs w:val="20"/>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ectPr>
          <w:pgSz w:w="11900" w:h="16838" w:orient="portrait"/>
          <w:cols w:equalWidth="0" w:num="1">
            <w:col w:w="11320"/>
          </w:cols>
          <w:pgMar w:left="240" w:top="585" w:right="339" w:bottom="1440" w:gutter="0" w:footer="0" w:header="0"/>
        </w:sectPr>
      </w:pP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Credited Service</w:t>
      </w:r>
      <w:r>
        <w:rPr>
          <w:rFonts w:ascii="Arial" w:cs="Arial" w:eastAsia="Arial" w:hAnsi="Arial"/>
          <w:sz w:val="19"/>
          <w:szCs w:val="19"/>
          <w:color w:val="auto"/>
        </w:rPr>
        <w:t>” means the sum of the period(s) during which you are in Service with</w:t>
      </w:r>
    </w:p>
    <w:p>
      <w:pPr>
        <w:spacing w:after="0" w:line="62" w:lineRule="exact"/>
        <w:rPr>
          <w:sz w:val="20"/>
          <w:szCs w:val="20"/>
          <w:color w:val="auto"/>
        </w:rPr>
      </w:pPr>
    </w:p>
    <w:p>
      <w:pPr>
        <w:sectPr>
          <w:pgSz w:w="11900" w:h="16838" w:orient="portrait"/>
          <w:cols w:equalWidth="0" w:num="2">
            <w:col w:w="2720" w:space="720"/>
            <w:col w:w="7880"/>
          </w:cols>
          <w:pgMar w:left="240" w:top="585" w:right="339" w:bottom="1440" w:gutter="0" w:footer="0" w:header="0"/>
          <w:type w:val="continuous"/>
        </w:sectPr>
      </w:pPr>
    </w:p>
    <w:p>
      <w:pPr>
        <w:spacing w:after="0"/>
        <w:rPr>
          <w:sz w:val="20"/>
          <w:szCs w:val="20"/>
          <w:color w:val="auto"/>
        </w:rPr>
      </w:pPr>
      <w:r>
        <w:rPr>
          <w:rFonts w:ascii="Arial" w:cs="Arial" w:eastAsia="Arial" w:hAnsi="Arial"/>
          <w:sz w:val="19"/>
          <w:szCs w:val="19"/>
          <w:color w:val="auto"/>
        </w:rPr>
        <w:t>the Company.</w:t>
      </w:r>
    </w:p>
    <w:p>
      <w:pPr>
        <w:sectPr>
          <w:pgSz w:w="11900" w:h="16838" w:orient="portrait"/>
          <w:cols w:equalWidth="0" w:num="1">
            <w:col w:w="11320"/>
          </w:cols>
          <w:pgMar w:left="240" w:top="585" w:right="339" w:bottom="1440" w:gutter="0" w:footer="0" w:header="0"/>
          <w:type w:val="continuous"/>
        </w:sect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Executive Compensation Committee</w:t>
      </w:r>
      <w:r>
        <w:rPr>
          <w:rFonts w:ascii="Arial" w:cs="Arial" w:eastAsia="Arial" w:hAnsi="Arial"/>
          <w:sz w:val="19"/>
          <w:szCs w:val="19"/>
          <w:color w:val="auto"/>
        </w:rPr>
        <w:t>” means the Executive Compensation Committee</w:t>
      </w:r>
    </w:p>
    <w:p>
      <w:pPr>
        <w:spacing w:after="0" w:line="62" w:lineRule="exact"/>
        <w:rPr>
          <w:sz w:val="20"/>
          <w:szCs w:val="20"/>
          <w:color w:val="auto"/>
        </w:rPr>
      </w:pPr>
    </w:p>
    <w:p>
      <w:pPr>
        <w:sectPr>
          <w:pgSz w:w="11900" w:h="16838" w:orient="portrait"/>
          <w:cols w:equalWidth="0" w:num="2">
            <w:col w:w="2780" w:space="720"/>
            <w:col w:w="7820"/>
          </w:cols>
          <w:pgMar w:left="240" w:top="585" w:right="339" w:bottom="1440" w:gutter="0" w:footer="0" w:header="0"/>
          <w:type w:val="continuous"/>
        </w:sectPr>
      </w:pPr>
    </w:p>
    <w:p>
      <w:pPr>
        <w:spacing w:after="0"/>
        <w:rPr>
          <w:sz w:val="20"/>
          <w:szCs w:val="20"/>
          <w:color w:val="auto"/>
        </w:rPr>
      </w:pPr>
      <w:r>
        <w:rPr>
          <w:rFonts w:ascii="Arial" w:cs="Arial" w:eastAsia="Arial" w:hAnsi="Arial"/>
          <w:sz w:val="19"/>
          <w:szCs w:val="19"/>
          <w:color w:val="auto"/>
        </w:rPr>
        <w:t>of the Board of Directors of T. Rowe Price Group, Inc.</w:t>
      </w:r>
    </w:p>
    <w:p>
      <w:pPr>
        <w:sectPr>
          <w:pgSz w:w="11900" w:h="16838" w:orient="portrait"/>
          <w:cols w:equalWidth="0" w:num="1">
            <w:col w:w="11320"/>
          </w:cols>
          <w:pgMar w:left="240" w:top="585" w:right="339" w:bottom="1440" w:gutter="0" w:footer="0" w:header="0"/>
          <w:type w:val="continuous"/>
        </w:sect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Expiration Date</w:t>
      </w:r>
      <w:r>
        <w:rPr>
          <w:rFonts w:ascii="Arial" w:cs="Arial" w:eastAsia="Arial" w:hAnsi="Arial"/>
          <w:sz w:val="19"/>
          <w:szCs w:val="19"/>
          <w:color w:val="auto"/>
        </w:rPr>
        <w:t>” means the date set forth on the Notice indicating when the Options</w:t>
      </w:r>
    </w:p>
    <w:p>
      <w:pPr>
        <w:spacing w:after="0" w:line="62" w:lineRule="exact"/>
        <w:rPr>
          <w:sz w:val="20"/>
          <w:szCs w:val="20"/>
          <w:color w:val="auto"/>
        </w:rPr>
      </w:pPr>
    </w:p>
    <w:p>
      <w:pPr>
        <w:sectPr>
          <w:pgSz w:w="11900" w:h="16838" w:orient="portrait"/>
          <w:cols w:equalWidth="0" w:num="2">
            <w:col w:w="2720" w:space="720"/>
            <w:col w:w="7880"/>
          </w:cols>
          <w:pgMar w:left="240" w:top="585" w:right="339" w:bottom="1440" w:gutter="0" w:footer="0" w:header="0"/>
          <w:type w:val="continuous"/>
        </w:sectPr>
      </w:pPr>
    </w:p>
    <w:p>
      <w:pPr>
        <w:spacing w:after="0"/>
        <w:rPr>
          <w:sz w:val="20"/>
          <w:szCs w:val="20"/>
          <w:color w:val="auto"/>
        </w:rPr>
      </w:pPr>
      <w:r>
        <w:rPr>
          <w:rFonts w:ascii="Arial" w:cs="Arial" w:eastAsia="Arial" w:hAnsi="Arial"/>
          <w:sz w:val="20"/>
          <w:szCs w:val="20"/>
          <w:color w:val="auto"/>
        </w:rPr>
        <w:t>expire if not sooner exercised, forfeited or otherwise terminated.</w:t>
      </w:r>
    </w:p>
    <w:p>
      <w:pPr>
        <w:spacing w:after="0" w:line="200" w:lineRule="exact"/>
        <w:rPr>
          <w:sz w:val="20"/>
          <w:szCs w:val="20"/>
          <w:color w:val="auto"/>
        </w:rPr>
      </w:pPr>
    </w:p>
    <w:p>
      <w:pPr>
        <w:spacing w:after="0" w:line="275" w:lineRule="exact"/>
        <w:rPr>
          <w:sz w:val="20"/>
          <w:szCs w:val="20"/>
          <w:color w:val="auto"/>
        </w:rPr>
      </w:pPr>
    </w:p>
    <w:p>
      <w:pPr>
        <w:jc w:val="both"/>
        <w:ind w:right="460" w:firstLine="1297"/>
        <w:spacing w:after="0" w:line="282" w:lineRule="auto"/>
        <w:rPr>
          <w:sz w:val="20"/>
          <w:szCs w:val="20"/>
          <w:color w:val="auto"/>
        </w:rPr>
      </w:pPr>
      <w:r>
        <w:rPr>
          <w:rFonts w:ascii="Arial" w:cs="Arial" w:eastAsia="Arial" w:hAnsi="Arial"/>
          <w:sz w:val="22"/>
          <w:szCs w:val="22"/>
          <w:color w:val="auto"/>
        </w:rPr>
        <w:t xml:space="preserve">(m) </w:t>
      </w: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during the 18-month period following a Change in Control,</w:t>
      </w:r>
      <w:r>
        <w:rPr>
          <w:rFonts w:ascii="Arial" w:cs="Arial" w:eastAsia="Arial" w:hAnsi="Arial"/>
          <w:sz w:val="22"/>
          <w:szCs w:val="22"/>
          <w:color w:val="auto"/>
        </w:rPr>
        <w:t xml:space="preserve"> </w:t>
      </w:r>
      <w:r>
        <w:rPr>
          <w:rFonts w:ascii="Arial" w:cs="Arial" w:eastAsia="Arial" w:hAnsi="Arial"/>
          <w:sz w:val="19"/>
          <w:szCs w:val="19"/>
          <w:color w:val="auto"/>
        </w:rPr>
        <w:t>actions taken by the Company or any successor corporation or other entity in a Corporate Transaction resulting in a material negative change in your employment relationship in one or more of the following ways:</w:t>
      </w:r>
    </w:p>
    <w:p>
      <w:pPr>
        <w:spacing w:after="0" w:line="199" w:lineRule="exact"/>
        <w:rPr>
          <w:sz w:val="20"/>
          <w:szCs w:val="20"/>
          <w:color w:val="auto"/>
        </w:rPr>
      </w:pPr>
    </w:p>
    <w:p>
      <w:pPr>
        <w:jc w:val="both"/>
        <w:ind w:left="660" w:right="220" w:firstLine="1293"/>
        <w:spacing w:after="0" w:line="243" w:lineRule="auto"/>
        <w:tabs>
          <w:tab w:leader="none" w:pos="2352"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206" w:lineRule="exact"/>
        <w:rPr>
          <w:rFonts w:ascii="Arial" w:cs="Arial" w:eastAsia="Arial" w:hAnsi="Arial"/>
          <w:sz w:val="20"/>
          <w:szCs w:val="20"/>
          <w:color w:val="auto"/>
        </w:rPr>
      </w:pPr>
    </w:p>
    <w:p>
      <w:pPr>
        <w:jc w:val="both"/>
        <w:ind w:left="660" w:right="60" w:firstLine="1293"/>
        <w:spacing w:after="0" w:line="243" w:lineRule="auto"/>
        <w:tabs>
          <w:tab w:leader="none" w:pos="2396" w:val="left"/>
        </w:tabs>
        <w:numPr>
          <w:ilvl w:val="0"/>
          <w:numId w:val="74"/>
        </w:numPr>
        <w:rPr>
          <w:rFonts w:ascii="Arial" w:cs="Arial" w:eastAsia="Arial" w:hAnsi="Arial"/>
          <w:sz w:val="20"/>
          <w:szCs w:val="20"/>
          <w:color w:val="auto"/>
        </w:rPr>
      </w:pPr>
      <w:r>
        <w:rPr>
          <w:rFonts w:ascii="Arial" w:cs="Arial" w:eastAsia="Arial" w:hAnsi="Arial"/>
          <w:sz w:val="20"/>
          <w:szCs w:val="20"/>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206" w:lineRule="exact"/>
        <w:rPr>
          <w:rFonts w:ascii="Arial" w:cs="Arial" w:eastAsia="Arial" w:hAnsi="Arial"/>
          <w:sz w:val="20"/>
          <w:szCs w:val="20"/>
          <w:color w:val="auto"/>
        </w:rPr>
      </w:pPr>
    </w:p>
    <w:p>
      <w:pPr>
        <w:ind w:left="660" w:right="100" w:firstLine="1293"/>
        <w:spacing w:after="0" w:line="247" w:lineRule="auto"/>
        <w:tabs>
          <w:tab w:leader="none" w:pos="24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 change in your principal place of employment that increases your commute by 75 or more miles as compared to your commute immediately prior to the Change in Control.</w:t>
      </w:r>
    </w:p>
    <w:p>
      <w:pPr>
        <w:spacing w:after="0" w:line="202" w:lineRule="exact"/>
        <w:rPr>
          <w:sz w:val="20"/>
          <w:szCs w:val="20"/>
          <w:color w:val="auto"/>
        </w:rPr>
      </w:pPr>
    </w:p>
    <w:p>
      <w:pPr>
        <w:ind w:firstLine="567"/>
        <w:spacing w:after="0"/>
        <w:rPr>
          <w:sz w:val="20"/>
          <w:szCs w:val="20"/>
          <w:color w:val="auto"/>
        </w:rPr>
      </w:pPr>
      <w:r>
        <w:rPr>
          <w:rFonts w:ascii="Arial" w:cs="Arial" w:eastAsia="Arial" w:hAnsi="Arial"/>
          <w:sz w:val="20"/>
          <w:szCs w:val="20"/>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20"/>
          <w:szCs w:val="20"/>
          <w:b w:val="1"/>
          <w:bCs w:val="1"/>
          <w:i w:val="1"/>
          <w:iCs w:val="1"/>
          <w:color w:val="auto"/>
        </w:rPr>
        <w:t>Service Recipient</w:t>
      </w:r>
      <w:r>
        <w:rPr>
          <w:rFonts w:ascii="Arial" w:cs="Arial" w:eastAsia="Arial" w:hAnsi="Arial"/>
          <w:sz w:val="20"/>
          <w:szCs w:val="20"/>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20"/>
          <w:szCs w:val="20"/>
          <w:b w:val="1"/>
          <w:bCs w:val="1"/>
          <w:i w:val="1"/>
          <w:iCs w:val="1"/>
          <w:color w:val="auto"/>
        </w:rPr>
        <w:t>Cure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Period</w:t>
      </w:r>
      <w:r>
        <w:rPr>
          <w:rFonts w:ascii="Arial" w:cs="Arial" w:eastAsia="Arial" w:hAnsi="Arial"/>
          <w:sz w:val="20"/>
          <w:szCs w:val="20"/>
          <w:color w:val="auto"/>
        </w:rPr>
        <w:t>”) during which it may remedy the condition. In the event that the Service Recipient fails to remedy the condition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constituting Good Reason during the applicable Cure Period, your Termination of Service must occur, if at all, within 90 days following the expiration of such Cure Period in order</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320"/>
          </w:cols>
          <w:pgMar w:left="240" w:top="585"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color w:val="auto"/>
        </w:rPr>
        <w:t>for such termination as a result of such condition to constitute a Termination of Service for Good Reason.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200" w:type="dxa"/>
            <w:vAlign w:val="bottom"/>
          </w:tcPr>
          <w:p>
            <w:pPr>
              <w:jc w:val="center"/>
              <w:ind w:right="236"/>
              <w:spacing w:after="0"/>
              <w:rPr>
                <w:sz w:val="20"/>
                <w:szCs w:val="20"/>
                <w:color w:val="auto"/>
              </w:rPr>
            </w:pPr>
            <w:r>
              <w:rPr>
                <w:rFonts w:ascii="Arial" w:cs="Arial" w:eastAsia="Arial" w:hAnsi="Arial"/>
                <w:sz w:val="22"/>
                <w:szCs w:val="22"/>
                <w:color w:val="auto"/>
                <w:w w:val="96"/>
              </w:rPr>
              <w:t>(n)</w:t>
            </w:r>
          </w:p>
        </w:tc>
        <w:tc>
          <w:tcPr>
            <w:tcW w:w="8100" w:type="dxa"/>
            <w:vAlign w:val="bottom"/>
          </w:tcPr>
          <w:p>
            <w:pPr>
              <w:ind w:left="320"/>
              <w:spacing w:after="0"/>
              <w:rPr>
                <w:sz w:val="20"/>
                <w:szCs w:val="20"/>
                <w:color w:val="auto"/>
              </w:rPr>
            </w:pPr>
            <w:r>
              <w:rPr>
                <w:rFonts w:ascii="Arial" w:cs="Arial" w:eastAsia="Arial" w:hAnsi="Arial"/>
                <w:sz w:val="20"/>
                <w:szCs w:val="20"/>
                <w:color w:val="auto"/>
                <w:w w:val="98"/>
              </w:rPr>
              <w:t>“</w:t>
            </w:r>
            <w:r>
              <w:rPr>
                <w:rFonts w:ascii="Arial" w:cs="Arial" w:eastAsia="Arial" w:hAnsi="Arial"/>
                <w:sz w:val="20"/>
                <w:szCs w:val="20"/>
                <w:b w:val="1"/>
                <w:bCs w:val="1"/>
                <w:i w:val="1"/>
                <w:iCs w:val="1"/>
                <w:color w:val="auto"/>
                <w:w w:val="98"/>
              </w:rPr>
              <w:t>Grant Date</w:t>
            </w:r>
            <w:r>
              <w:rPr>
                <w:rFonts w:ascii="Arial" w:cs="Arial" w:eastAsia="Arial" w:hAnsi="Arial"/>
                <w:sz w:val="20"/>
                <w:szCs w:val="20"/>
                <w:color w:val="auto"/>
                <w:w w:val="98"/>
              </w:rPr>
              <w:t>” means the date set forth on the Notice indicating when the grant of Options</w:t>
            </w:r>
          </w:p>
        </w:tc>
      </w:tr>
      <w:tr>
        <w:trPr>
          <w:trHeight w:val="251"/>
        </w:trPr>
        <w:tc>
          <w:tcPr>
            <w:tcW w:w="3200" w:type="dxa"/>
            <w:vAlign w:val="bottom"/>
          </w:tcPr>
          <w:p>
            <w:pPr>
              <w:jc w:val="center"/>
              <w:ind w:right="196"/>
              <w:spacing w:after="0"/>
              <w:rPr>
                <w:sz w:val="20"/>
                <w:szCs w:val="20"/>
                <w:color w:val="auto"/>
              </w:rPr>
            </w:pPr>
            <w:r>
              <w:rPr>
                <w:rFonts w:ascii="Arial" w:cs="Arial" w:eastAsia="Arial" w:hAnsi="Arial"/>
                <w:sz w:val="20"/>
                <w:szCs w:val="20"/>
                <w:color w:val="auto"/>
                <w:w w:val="99"/>
              </w:rPr>
              <w:t>was approved by the Committee.</w:t>
            </w:r>
          </w:p>
        </w:tc>
        <w:tc>
          <w:tcPr>
            <w:tcW w:w="8100" w:type="dxa"/>
            <w:vAlign w:val="bottom"/>
          </w:tcPr>
          <w:p>
            <w:pPr>
              <w:spacing w:after="0"/>
              <w:rPr>
                <w:sz w:val="21"/>
                <w:szCs w:val="21"/>
                <w:color w:val="auto"/>
              </w:rPr>
            </w:pPr>
          </w:p>
        </w:tc>
      </w:tr>
      <w:tr>
        <w:trPr>
          <w:trHeight w:val="506"/>
        </w:trPr>
        <w:tc>
          <w:tcPr>
            <w:tcW w:w="3200" w:type="dxa"/>
            <w:vAlign w:val="bottom"/>
          </w:tcPr>
          <w:p>
            <w:pPr>
              <w:jc w:val="center"/>
              <w:ind w:right="236"/>
              <w:spacing w:after="0"/>
              <w:rPr>
                <w:sz w:val="20"/>
                <w:szCs w:val="20"/>
                <w:color w:val="auto"/>
              </w:rPr>
            </w:pPr>
            <w:r>
              <w:rPr>
                <w:rFonts w:ascii="Arial" w:cs="Arial" w:eastAsia="Arial" w:hAnsi="Arial"/>
                <w:sz w:val="22"/>
                <w:szCs w:val="22"/>
                <w:color w:val="auto"/>
                <w:w w:val="96"/>
              </w:rPr>
              <w:t>(o)</w:t>
            </w:r>
          </w:p>
        </w:tc>
        <w:tc>
          <w:tcPr>
            <w:tcW w:w="81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means the Notice of Grant of Stock Option Award which correlates with these</w:t>
            </w:r>
          </w:p>
        </w:tc>
      </w:tr>
      <w:tr>
        <w:trPr>
          <w:trHeight w:val="251"/>
        </w:trPr>
        <w:tc>
          <w:tcPr>
            <w:tcW w:w="11300" w:type="dxa"/>
            <w:vAlign w:val="bottom"/>
            <w:gridSpan w:val="2"/>
          </w:tcPr>
          <w:p>
            <w:pPr>
              <w:spacing w:after="0"/>
              <w:rPr>
                <w:sz w:val="20"/>
                <w:szCs w:val="20"/>
                <w:color w:val="auto"/>
              </w:rPr>
            </w:pPr>
            <w:r>
              <w:rPr>
                <w:rFonts w:ascii="Arial" w:cs="Arial" w:eastAsia="Arial" w:hAnsi="Arial"/>
                <w:sz w:val="20"/>
                <w:szCs w:val="20"/>
                <w:color w:val="auto"/>
              </w:rPr>
              <w:t>Terms and sets forth the specifics of the applicable award of Options.</w:t>
            </w:r>
          </w:p>
        </w:tc>
      </w:tr>
      <w:tr>
        <w:trPr>
          <w:trHeight w:val="506"/>
        </w:trPr>
        <w:tc>
          <w:tcPr>
            <w:tcW w:w="3200" w:type="dxa"/>
            <w:vAlign w:val="bottom"/>
          </w:tcPr>
          <w:p>
            <w:pPr>
              <w:jc w:val="center"/>
              <w:ind w:right="236"/>
              <w:spacing w:after="0"/>
              <w:rPr>
                <w:sz w:val="20"/>
                <w:szCs w:val="20"/>
                <w:color w:val="auto"/>
              </w:rPr>
            </w:pPr>
            <w:r>
              <w:rPr>
                <w:rFonts w:ascii="Arial" w:cs="Arial" w:eastAsia="Arial" w:hAnsi="Arial"/>
                <w:sz w:val="22"/>
                <w:szCs w:val="22"/>
                <w:color w:val="auto"/>
                <w:w w:val="96"/>
              </w:rPr>
              <w:t>(p)</w:t>
            </w:r>
          </w:p>
        </w:tc>
        <w:tc>
          <w:tcPr>
            <w:tcW w:w="8100" w:type="dxa"/>
            <w:vAlign w:val="bottom"/>
          </w:tcPr>
          <w:p>
            <w:pPr>
              <w:ind w:left="320"/>
              <w:spacing w:after="0"/>
              <w:rPr>
                <w:sz w:val="20"/>
                <w:szCs w:val="20"/>
                <w:color w:val="auto"/>
              </w:rPr>
            </w:pPr>
            <w:r>
              <w:rPr>
                <w:rFonts w:ascii="Arial" w:cs="Arial" w:eastAsia="Arial" w:hAnsi="Arial"/>
                <w:sz w:val="20"/>
                <w:szCs w:val="20"/>
                <w:color w:val="auto"/>
                <w:w w:val="98"/>
              </w:rPr>
              <w:t>“</w:t>
            </w:r>
            <w:r>
              <w:rPr>
                <w:rFonts w:ascii="Arial" w:cs="Arial" w:eastAsia="Arial" w:hAnsi="Arial"/>
                <w:sz w:val="20"/>
                <w:szCs w:val="20"/>
                <w:b w:val="1"/>
                <w:bCs w:val="1"/>
                <w:i w:val="1"/>
                <w:iCs w:val="1"/>
                <w:color w:val="auto"/>
                <w:w w:val="98"/>
              </w:rPr>
              <w:t>Option</w:t>
            </w:r>
            <w:r>
              <w:rPr>
                <w:rFonts w:ascii="Arial" w:cs="Arial" w:eastAsia="Arial" w:hAnsi="Arial"/>
                <w:sz w:val="20"/>
                <w:szCs w:val="20"/>
                <w:color w:val="auto"/>
                <w:w w:val="98"/>
              </w:rPr>
              <w:t>” means a right to purchase a specified number of shares of Common Stock from</w:t>
            </w:r>
          </w:p>
        </w:tc>
      </w:tr>
    </w:tbl>
    <w:p>
      <w:pPr>
        <w:spacing w:after="0" w:line="13"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Price Group at a specified price during a specified period of time after the right becomes exercisable under the Notice and the Sub-Plan. Each Option represents a contractual obligation of the Company to deliver one share of Common Stock to the option holder upon due exercise of the Option.</w:t>
      </w:r>
    </w:p>
    <w:p>
      <w:pPr>
        <w:sectPr>
          <w:pgSz w:w="11900" w:h="16838" w:orient="portrait"/>
          <w:cols w:equalWidth="0" w:num="1">
            <w:col w:w="11400"/>
          </w:cols>
          <w:pgMar w:left="240" w:top="595" w:right="259" w:bottom="1440" w:gutter="0" w:footer="0" w:header="0"/>
        </w:sect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(q)</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means the T. Rowe Price Group, Inc. 2012 Long-Term Incentive Plan.</w:t>
      </w:r>
    </w:p>
    <w:p>
      <w:pPr>
        <w:spacing w:after="0" w:line="230" w:lineRule="exact"/>
        <w:rPr>
          <w:sz w:val="20"/>
          <w:szCs w:val="20"/>
          <w:color w:val="auto"/>
        </w:rPr>
      </w:pPr>
    </w:p>
    <w:p>
      <w:pPr>
        <w:sectPr>
          <w:pgSz w:w="11900" w:h="16838" w:orient="portrait"/>
          <w:cols w:equalWidth="0" w:num="2">
            <w:col w:w="2800" w:space="720"/>
            <w:col w:w="7880"/>
          </w:cols>
          <w:pgMar w:left="240" w:top="595" w:right="259" w:bottom="1440" w:gutter="0" w:footer="0" w:header="0"/>
          <w:type w:val="continuous"/>
        </w:sectPr>
      </w:pP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Price Group</w:t>
      </w:r>
      <w:r>
        <w:rPr>
          <w:rFonts w:ascii="Arial" w:cs="Arial" w:eastAsia="Arial" w:hAnsi="Arial"/>
          <w:sz w:val="19"/>
          <w:szCs w:val="19"/>
          <w:color w:val="auto"/>
        </w:rPr>
        <w:t>” means T. Rowe Price Group, Inc.</w:t>
      </w:r>
    </w:p>
    <w:p>
      <w:pPr>
        <w:spacing w:after="0" w:line="255" w:lineRule="exact"/>
        <w:rPr>
          <w:sz w:val="20"/>
          <w:szCs w:val="20"/>
          <w:color w:val="auto"/>
        </w:rPr>
      </w:pPr>
    </w:p>
    <w:p>
      <w:pPr>
        <w:sectPr>
          <w:pgSz w:w="11900" w:h="16838" w:orient="portrait"/>
          <w:cols w:equalWidth="0" w:num="2">
            <w:col w:w="2520" w:space="720"/>
            <w:col w:w="8160"/>
          </w:cols>
          <w:pgMar w:left="240" w:top="595" w:right="259" w:bottom="1440" w:gutter="0" w:footer="0" w:header="0"/>
          <w:type w:val="continuous"/>
        </w:sectPr>
      </w:pPr>
    </w:p>
    <w:p>
      <w:pPr>
        <w:spacing w:after="0" w:line="26" w:lineRule="exact"/>
        <w:rPr>
          <w:sz w:val="20"/>
          <w:szCs w:val="20"/>
          <w:color w:val="auto"/>
        </w:rPr>
      </w:pPr>
    </w:p>
    <w:p>
      <w:pPr>
        <w:ind w:left="1300"/>
        <w:spacing w:after="0"/>
        <w:tabs>
          <w:tab w:leader="none" w:pos="3480" w:val="left"/>
        </w:tabs>
        <w:rPr>
          <w:sz w:val="20"/>
          <w:szCs w:val="20"/>
          <w:color w:val="auto"/>
        </w:rPr>
      </w:pPr>
      <w:r>
        <w:rPr>
          <w:rFonts w:ascii="Arial" w:cs="Arial" w:eastAsia="Arial" w:hAnsi="Arial"/>
          <w:sz w:val="21"/>
          <w:szCs w:val="21"/>
          <w:color w:val="auto"/>
        </w:rPr>
        <w:t>(s)</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means your employment with the Company. Your Service will be considered to</w:t>
      </w:r>
    </w:p>
    <w:p>
      <w:pPr>
        <w:sectPr>
          <w:pgSz w:w="11900" w:h="16838" w:orient="portrait"/>
          <w:cols w:equalWidth="0" w:num="1">
            <w:col w:w="11400"/>
          </w:cols>
          <w:pgMar w:left="240" w:top="595" w:right="259" w:bottom="1440" w:gutter="0" w:footer="0" w:header="0"/>
          <w:type w:val="continuous"/>
        </w:sectPr>
      </w:pPr>
    </w:p>
    <w:p>
      <w:pPr>
        <w:spacing w:after="0" w:line="39" w:lineRule="exact"/>
        <w:rPr>
          <w:sz w:val="20"/>
          <w:szCs w:val="20"/>
          <w:color w:val="auto"/>
        </w:rPr>
      </w:pPr>
    </w:p>
    <w:p>
      <w:pPr>
        <w:jc w:val="both"/>
        <w:ind w:right="340"/>
        <w:spacing w:after="0" w:line="271" w:lineRule="auto"/>
        <w:rPr>
          <w:sz w:val="20"/>
          <w:szCs w:val="20"/>
          <w:color w:val="auto"/>
        </w:rPr>
      </w:pPr>
      <w:r>
        <w:rPr>
          <w:rFonts w:ascii="Arial" w:cs="Arial" w:eastAsia="Arial" w:hAnsi="Arial"/>
          <w:sz w:val="20"/>
          <w:szCs w:val="20"/>
          <w:color w:val="auto"/>
        </w:rPr>
        <w:t>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210" w:lineRule="exact"/>
        <w:rPr>
          <w:sz w:val="20"/>
          <w:szCs w:val="20"/>
          <w:color w:val="auto"/>
        </w:rPr>
      </w:pPr>
    </w:p>
    <w:p>
      <w:pPr>
        <w:ind w:right="40" w:firstLine="1297"/>
        <w:spacing w:after="0" w:line="282" w:lineRule="auto"/>
        <w:rPr>
          <w:sz w:val="20"/>
          <w:szCs w:val="20"/>
          <w:color w:val="auto"/>
        </w:rPr>
      </w:pPr>
      <w:r>
        <w:rPr>
          <w:rFonts w:ascii="Arial" w:cs="Arial" w:eastAsia="Arial" w:hAnsi="Arial"/>
          <w:sz w:val="22"/>
          <w:szCs w:val="22"/>
          <w:color w:val="auto"/>
        </w:rPr>
        <w:t xml:space="preserve">(t) </w:t>
      </w: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of Service</w:t>
      </w:r>
      <w:r>
        <w:rPr>
          <w:rFonts w:ascii="Arial" w:cs="Arial" w:eastAsia="Arial" w:hAnsi="Arial"/>
          <w:sz w:val="19"/>
          <w:szCs w:val="19"/>
          <w:color w:val="auto"/>
        </w:rPr>
        <w:t>” means the termination of your employment with the Company.</w:t>
      </w:r>
      <w:r>
        <w:rPr>
          <w:rFonts w:ascii="Arial" w:cs="Arial" w:eastAsia="Arial" w:hAnsi="Arial"/>
          <w:sz w:val="22"/>
          <w:szCs w:val="22"/>
          <w:color w:val="auto"/>
        </w:rPr>
        <w:t xml:space="preserve"> </w:t>
      </w:r>
      <w:r>
        <w:rPr>
          <w:rFonts w:ascii="Arial" w:cs="Arial" w:eastAsia="Arial" w:hAnsi="Arial"/>
          <w:sz w:val="19"/>
          <w:szCs w:val="19"/>
          <w:color w:val="auto"/>
        </w:rPr>
        <w:t xml:space="preserve">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ectPr>
          <w:pgSz w:w="11900" w:h="16838" w:orient="portrait"/>
          <w:cols w:equalWidth="0" w:num="1">
            <w:col w:w="11400"/>
          </w:cols>
          <w:pgMar w:left="240" w:top="595" w:right="259" w:bottom="1440" w:gutter="0" w:footer="0" w:header="0"/>
          <w:type w:val="continuous"/>
        </w:sectPr>
      </w:pP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(u)</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Terms</w:t>
      </w:r>
      <w:r>
        <w:rPr>
          <w:rFonts w:ascii="Arial" w:cs="Arial" w:eastAsia="Arial" w:hAnsi="Arial"/>
          <w:sz w:val="19"/>
          <w:szCs w:val="19"/>
          <w:color w:val="auto"/>
        </w:rPr>
        <w:t>” mean this Statement of Additional Terms Regarding Awards of Stock Options.</w:t>
      </w:r>
    </w:p>
    <w:p>
      <w:pPr>
        <w:spacing w:after="0" w:line="230" w:lineRule="exact"/>
        <w:rPr>
          <w:sz w:val="20"/>
          <w:szCs w:val="20"/>
          <w:color w:val="auto"/>
        </w:rPr>
      </w:pPr>
    </w:p>
    <w:p>
      <w:pPr>
        <w:sectPr>
          <w:pgSz w:w="11900" w:h="16838" w:orient="portrait"/>
          <w:cols w:equalWidth="0" w:num="2">
            <w:col w:w="2800" w:space="720"/>
            <w:col w:w="7880"/>
          </w:cols>
          <w:pgMar w:left="240" w:top="595" w:right="259" w:bottom="1440" w:gutter="0" w:footer="0" w:header="0"/>
          <w:type w:val="continuous"/>
        </w:sectPr>
      </w:pPr>
    </w:p>
    <w:p>
      <w:pPr>
        <w:spacing w:after="0" w:line="51" w:lineRule="exact"/>
        <w:rPr>
          <w:sz w:val="20"/>
          <w:szCs w:val="20"/>
          <w:color w:val="auto"/>
        </w:rPr>
      </w:pPr>
    </w:p>
    <w:p>
      <w:pPr>
        <w:ind w:left="1300"/>
        <w:spacing w:after="0"/>
        <w:tabs>
          <w:tab w:leader="none" w:pos="3480" w:val="left"/>
        </w:tabs>
        <w:rPr>
          <w:sz w:val="20"/>
          <w:szCs w:val="20"/>
          <w:color w:val="auto"/>
        </w:rPr>
      </w:pPr>
      <w:r>
        <w:rPr>
          <w:rFonts w:ascii="Arial" w:cs="Arial" w:eastAsia="Arial" w:hAnsi="Arial"/>
          <w:sz w:val="21"/>
          <w:szCs w:val="21"/>
          <w:color w:val="auto"/>
        </w:rPr>
        <w:t>(v)</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Total and Permanent Disability</w:t>
      </w:r>
      <w:r>
        <w:rPr>
          <w:rFonts w:ascii="Arial" w:cs="Arial" w:eastAsia="Arial" w:hAnsi="Arial"/>
          <w:sz w:val="19"/>
          <w:szCs w:val="19"/>
          <w:color w:val="auto"/>
        </w:rPr>
        <w:t>” means that you are (i) unable to engage in any</w:t>
      </w:r>
    </w:p>
    <w:p>
      <w:pPr>
        <w:sectPr>
          <w:pgSz w:w="11900" w:h="16838" w:orient="portrait"/>
          <w:cols w:equalWidth="0" w:num="1">
            <w:col w:w="11400"/>
          </w:cols>
          <w:pgMar w:left="240" w:top="595" w:right="259" w:bottom="1440" w:gutter="0" w:footer="0" w:header="0"/>
          <w:type w:val="continuous"/>
        </w:sectPr>
      </w:pPr>
    </w:p>
    <w:p>
      <w:pPr>
        <w:spacing w:after="0" w:line="39"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400"/>
          </w:cols>
          <w:pgMar w:left="240" w:top="595" w:right="259" w:bottom="1440" w:gutter="0" w:footer="0" w:header="0"/>
          <w:type w:val="continuous"/>
        </w:sectPr>
      </w:pPr>
    </w:p>
    <w:bookmarkStart w:id="54" w:name="page55"/>
    <w:bookmarkEnd w:id="54"/>
    <w:p>
      <w:pPr>
        <w:ind w:right="160" w:firstLine="1297"/>
        <w:spacing w:after="0" w:line="290" w:lineRule="auto"/>
        <w:rPr>
          <w:sz w:val="20"/>
          <w:szCs w:val="20"/>
          <w:color w:val="auto"/>
        </w:rPr>
      </w:pPr>
      <w:r>
        <w:rPr>
          <w:rFonts w:ascii="Arial" w:cs="Arial" w:eastAsia="Arial" w:hAnsi="Arial"/>
          <w:sz w:val="22"/>
          <w:szCs w:val="22"/>
          <w:color w:val="auto"/>
        </w:rPr>
        <w:t xml:space="preserve">(w) </w:t>
      </w:r>
      <w:r>
        <w:rPr>
          <w:rFonts w:ascii="Arial" w:cs="Arial" w:eastAsia="Arial" w:hAnsi="Arial"/>
          <w:sz w:val="19"/>
          <w:szCs w:val="19"/>
          <w:color w:val="auto"/>
        </w:rPr>
        <w:t>“</w:t>
      </w:r>
      <w:r>
        <w:rPr>
          <w:rFonts w:ascii="Arial" w:cs="Arial" w:eastAsia="Arial" w:hAnsi="Arial"/>
          <w:sz w:val="19"/>
          <w:szCs w:val="19"/>
          <w:b w:val="1"/>
          <w:bCs w:val="1"/>
          <w:i w:val="1"/>
          <w:iCs w:val="1"/>
          <w:color w:val="auto"/>
        </w:rPr>
        <w:t>Withholding Taxes</w:t>
      </w:r>
      <w:r>
        <w:rPr>
          <w:rFonts w:ascii="Arial" w:cs="Arial" w:eastAsia="Arial" w:hAnsi="Arial"/>
          <w:sz w:val="19"/>
          <w:szCs w:val="19"/>
          <w:color w:val="auto"/>
        </w:rPr>
        <w:t>” means any foreign (non-United States), federal, state and local</w:t>
      </w:r>
      <w:r>
        <w:rPr>
          <w:rFonts w:ascii="Arial" w:cs="Arial" w:eastAsia="Arial" w:hAnsi="Arial"/>
          <w:sz w:val="22"/>
          <w:szCs w:val="22"/>
          <w:color w:val="auto"/>
        </w:rPr>
        <w:t xml:space="preserve"> </w:t>
      </w:r>
      <w:r>
        <w:rPr>
          <w:rFonts w:ascii="Arial" w:cs="Arial" w:eastAsia="Arial" w:hAnsi="Arial"/>
          <w:sz w:val="19"/>
          <w:szCs w:val="19"/>
          <w:color w:val="auto"/>
        </w:rPr>
        <w:t>taxes and social insurance contributions required by law to be withheld which arise in connection with the Options.</w:t>
      </w:r>
    </w:p>
    <w:p>
      <w:pPr>
        <w:spacing w:after="0" w:line="187" w:lineRule="exact"/>
        <w:rPr>
          <w:sz w:val="20"/>
          <w:szCs w:val="20"/>
          <w:color w:val="auto"/>
        </w:rPr>
      </w:pPr>
    </w:p>
    <w:p>
      <w:pPr>
        <w:ind w:left="1300"/>
        <w:spacing w:after="0"/>
        <w:tabs>
          <w:tab w:leader="none" w:pos="348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You</w:t>
      </w:r>
      <w:r>
        <w:rPr>
          <w:rFonts w:ascii="Arial" w:cs="Arial" w:eastAsia="Arial" w:hAnsi="Arial"/>
          <w:sz w:val="20"/>
          <w:szCs w:val="20"/>
          <w:color w:val="auto"/>
        </w:rPr>
        <w:t>”; “</w:t>
      </w:r>
      <w:r>
        <w:rPr>
          <w:rFonts w:ascii="Arial" w:cs="Arial" w:eastAsia="Arial" w:hAnsi="Arial"/>
          <w:sz w:val="20"/>
          <w:szCs w:val="20"/>
          <w:b w:val="1"/>
          <w:bCs w:val="1"/>
          <w:i w:val="1"/>
          <w:iCs w:val="1"/>
          <w:color w:val="auto"/>
        </w:rPr>
        <w:t>Your</w:t>
      </w:r>
      <w:r>
        <w:rPr>
          <w:rFonts w:ascii="Arial" w:cs="Arial" w:eastAsia="Arial" w:hAnsi="Arial"/>
          <w:sz w:val="20"/>
          <w:szCs w:val="20"/>
          <w:color w:val="auto"/>
        </w:rPr>
        <w:t>”. You means the recipient of the Options as reflected in the Notice.</w:t>
      </w:r>
    </w:p>
    <w:p>
      <w:pPr>
        <w:spacing w:after="0" w:line="2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Whenever the word “you” or “your” is used in any provision of this Agreement under circumstances where the provision should logically be construed, as determined by the Committee, to apply to the estate, personal representative, or beneficiary to whom the Options may be transferred by will or by the laws of descent and distribution, the words “you” and “your” shall be deemed to include such person.</w:t>
      </w:r>
    </w:p>
    <w:p>
      <w:pPr>
        <w:spacing w:after="0" w:line="188"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end of document</w:t>
      </w:r>
      <w:r>
        <w:rPr>
          <w:rFonts w:ascii="Arial" w:cs="Arial" w:eastAsia="Arial" w:hAnsi="Arial"/>
          <w:sz w:val="20"/>
          <w:szCs w:val="20"/>
          <w:color w:val="auto"/>
        </w:rPr>
        <w: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pacing w:after="0"/>
        <w:rPr>
          <w:sz w:val="20"/>
          <w:szCs w:val="20"/>
          <w:color w:val="auto"/>
        </w:rPr>
      </w:pPr>
      <w:r>
        <w:rPr>
          <w:rFonts w:ascii="Arial" w:cs="Arial" w:eastAsia="Arial" w:hAnsi="Arial"/>
          <w:sz w:val="14"/>
          <w:szCs w:val="14"/>
          <w:color w:val="auto"/>
        </w:rPr>
        <w:t>EAST\47801540.7 5/21/12</w:t>
      </w:r>
    </w:p>
    <w:p>
      <w:pPr>
        <w:sectPr>
          <w:pgSz w:w="11900" w:h="16838" w:orient="portrait"/>
          <w:cols w:equalWidth="0" w:num="1">
            <w:col w:w="11140"/>
          </w:cols>
          <w:pgMar w:left="240" w:top="828" w:right="519" w:bottom="1440" w:gutter="0" w:footer="0" w:header="0"/>
        </w:sectPr>
      </w:pPr>
    </w:p>
    <w:bookmarkStart w:id="55" w:name="page56"/>
    <w:bookmarkEnd w:id="55"/>
    <w:p>
      <w:pPr>
        <w:ind w:left="1020" w:right="4560" w:hanging="2592"/>
        <w:spacing w:after="0" w:line="260" w:lineRule="auto"/>
        <w:tabs>
          <w:tab w:leader="none" w:pos="1000" w:val="left"/>
        </w:tabs>
        <w:rPr>
          <w:sz w:val="20"/>
          <w:szCs w:val="20"/>
          <w:color w:val="auto"/>
        </w:rPr>
      </w:pPr>
      <w:r>
        <w:rPr>
          <w:rFonts w:ascii="Arial" w:cs="Arial" w:eastAsia="Arial" w:hAnsi="Arial"/>
          <w:sz w:val="20"/>
          <w:szCs w:val="20"/>
          <w:color w:val="auto"/>
        </w:rPr>
        <w:t>Exhibit 15</w:t>
        <w:tab/>
        <w:t xml:space="preserve">Letter from KPMG LLP, independent registered public accounting firm, </w:t>
      </w:r>
      <w:r>
        <w:rPr>
          <w:rFonts w:ascii="Arial" w:cs="Arial" w:eastAsia="Arial" w:hAnsi="Arial"/>
          <w:sz w:val="20"/>
          <w:szCs w:val="20"/>
          <w:b w:val="1"/>
          <w:bCs w:val="1"/>
          <w:color w:val="auto"/>
        </w:rPr>
        <w:t>re unaudited interim financial information</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T. Rowe Price Group,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100 East Pratt Street</w:t>
      </w:r>
    </w:p>
    <w:p>
      <w:pPr>
        <w:spacing w:after="0"/>
        <w:rPr>
          <w:sz w:val="20"/>
          <w:szCs w:val="20"/>
          <w:color w:val="auto"/>
        </w:rPr>
      </w:pPr>
      <w:r>
        <w:rPr>
          <w:rFonts w:ascii="Arial" w:cs="Arial" w:eastAsia="Arial" w:hAnsi="Arial"/>
          <w:sz w:val="20"/>
          <w:szCs w:val="20"/>
          <w:color w:val="auto"/>
        </w:rPr>
        <w:t>Baltimore, Maryland 21202</w:t>
      </w:r>
    </w:p>
    <w:p>
      <w:pPr>
        <w:spacing w:after="0" w:line="200" w:lineRule="exact"/>
        <w:rPr>
          <w:sz w:val="20"/>
          <w:szCs w:val="20"/>
          <w:color w:val="auto"/>
        </w:rPr>
      </w:pPr>
    </w:p>
    <w:p>
      <w:pPr>
        <w:spacing w:after="0" w:line="21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Re: Registration Statements on Form S-8: No. 33-7012, No. 333-90967, No. 333-59714, No. 333-120882, No. 333-120883, No. 333-142092, No. 333-167317, and 333-180904.</w:t>
      </w:r>
    </w:p>
    <w:p>
      <w:pPr>
        <w:spacing w:after="0" w:line="39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With respect to the subject registration statements, we acknowledge our awareness of the use therein of our report dated April 24, 2013 related to our review of interim financial information.</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Baltimore, Maryland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April 24, 2013</w:t>
      </w:r>
    </w:p>
    <w:p>
      <w:pPr>
        <w:sectPr>
          <w:pgSz w:w="11900" w:h="16838" w:orient="portrait"/>
          <w:cols w:equalWidth="0" w:num="1">
            <w:col w:w="11280"/>
          </w:cols>
          <w:pgMar w:left="240" w:top="582" w:right="379" w:bottom="1440" w:gutter="0" w:footer="0" w:header="0"/>
        </w:sectPr>
      </w:pPr>
    </w:p>
    <w:bookmarkStart w:id="56" w:name="page57"/>
    <w:bookmarkEnd w:id="56"/>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fiscal year ended March 31, 2013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24,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57" w:name="page58"/>
    <w:bookmarkEnd w:id="57"/>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fiscal year ended March 31, 2013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24,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58" w:name="page59"/>
    <w:bookmarkEnd w:id="58"/>
    <w:p>
      <w:pPr>
        <w:spacing w:after="0"/>
        <w:tabs>
          <w:tab w:leader="none" w:pos="25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2013 of T. Rowe Price Group, Inc., that:</w:t>
      </w:r>
    </w:p>
    <w:p>
      <w:pPr>
        <w:spacing w:after="0" w:line="116"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April 24, 2013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59" w:name="page60"/>
    <w:bookmarkEnd w:id="5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lvl w:ilvl="1">
      <w:lvlJc w:val="left"/>
      <w:lvlText w:val="%2"/>
      <w:numFmt w:val="upperLetter"/>
      <w:start w:val="1"/>
    </w:lvl>
  </w:abstractNum>
  <w:abstractNum w:abstractNumId="3">
    <w:nsid w:val="580BD78F"/>
    <w:multiLevelType w:val="hybridMultilevel"/>
    <w:lvl w:ilvl="0">
      <w:lvlJc w:val="left"/>
      <w:lvlText w:val="%1."/>
      <w:numFmt w:val="decimal"/>
      <w:start w:val="7"/>
    </w:lvl>
    <w:lvl w:ilvl="1">
      <w:lvlJc w:val="left"/>
      <w:lvlText w:val="•"/>
      <w:numFmt w:val="bullet"/>
      <w:start w:val="1"/>
    </w:lvl>
  </w:abstractNum>
  <w:abstractNum w:abstractNumId="4">
    <w:nsid w:val="153EA438"/>
    <w:multiLevelType w:val="hybridMultilevel"/>
    <w:lvl w:ilvl="0">
      <w:lvlJc w:val="left"/>
      <w:lvlText w:val="%1."/>
      <w:numFmt w:val="decimal"/>
      <w:start w:val="10"/>
    </w:lvl>
  </w:abstractNum>
  <w:abstractNum w:abstractNumId="5">
    <w:nsid w:val="3855585C"/>
    <w:multiLevelType w:val="hybridMultilevel"/>
    <w:lvl w:ilvl="0">
      <w:lvlJc w:val="left"/>
      <w:lvlText w:val="%1."/>
      <w:numFmt w:val="decimal"/>
      <w:start w:val="11"/>
    </w:lvl>
  </w:abstractNum>
  <w:abstractNum w:abstractNumId="6">
    <w:nsid w:val="70A64E2A"/>
    <w:multiLevelType w:val="hybridMultilevel"/>
    <w:lvl w:ilvl="0">
      <w:lvlJc w:val="left"/>
      <w:lvlText w:val="%1."/>
      <w:numFmt w:val="decimal"/>
      <w:start w:val="12"/>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decimal"/>
      <w:start w:val="13"/>
    </w:lvl>
  </w:abstractNum>
  <w:abstractNum w:abstractNumId="9">
    <w:nsid w:val="1D4ED43B"/>
    <w:multiLevelType w:val="hybridMultilevel"/>
    <w:lvl w:ilvl="0">
      <w:lvlJc w:val="left"/>
      <w:lvlText w:val="%1."/>
      <w:numFmt w:val="decimal"/>
      <w:start w:val="14"/>
    </w:lvl>
  </w:abstractNum>
  <w:abstractNum w:abstractNumId="10">
    <w:nsid w:val="725A06FB"/>
    <w:multiLevelType w:val="hybridMultilevel"/>
    <w:lvl w:ilvl="0">
      <w:lvlJc w:val="left"/>
      <w:lvlText w:val="%1."/>
      <w:numFmt w:val="decimal"/>
      <w:start w:val="15"/>
    </w:lvl>
  </w:abstractNum>
  <w:abstractNum w:abstractNumId="11">
    <w:nsid w:val="2CD89A32"/>
    <w:multiLevelType w:val="hybridMultilevel"/>
    <w:lvl w:ilvl="0">
      <w:lvlJc w:val="left"/>
      <w:lvlText w:val="%1."/>
      <w:numFmt w:val="decimal"/>
      <w:start w:val="16"/>
    </w:lvl>
  </w:abstractNum>
  <w:abstractNum w:abstractNumId="12">
    <w:nsid w:val="57E4CCAF"/>
    <w:multiLevelType w:val="hybridMultilevel"/>
    <w:lvl w:ilvl="0">
      <w:lvlJc w:val="left"/>
      <w:lvlText w:val="%1."/>
      <w:numFmt w:val="decimal"/>
      <w:start w:val="17"/>
    </w:lvl>
  </w:abstractNum>
  <w:abstractNum w:abstractNumId="13">
    <w:nsid w:val="7A6D8D3C"/>
    <w:multiLevelType w:val="hybridMultilevel"/>
    <w:lvl w:ilvl="0">
      <w:lvlJc w:val="left"/>
      <w:lvlText w:val="%1."/>
      <w:numFmt w:val="decimal"/>
      <w:start w:val="18"/>
    </w:lvl>
  </w:abstractNum>
  <w:abstractNum w:abstractNumId="14">
    <w:nsid w:val="4B588F54"/>
    <w:multiLevelType w:val="hybridMultilevel"/>
    <w:lvl w:ilvl="0">
      <w:lvlJc w:val="left"/>
      <w:lvlText w:val="%1."/>
      <w:numFmt w:val="decimal"/>
      <w:start w:val="19"/>
    </w:lvl>
  </w:abstractNum>
  <w:abstractNum w:abstractNumId="15">
    <w:nsid w:val="542289EC"/>
    <w:multiLevelType w:val="hybridMultilevel"/>
    <w:lvl w:ilvl="0">
      <w:lvlJc w:val="left"/>
      <w:lvlText w:val="%1."/>
      <w:numFmt w:val="decimal"/>
      <w:start w:val="20"/>
    </w:lvl>
  </w:abstractNum>
  <w:abstractNum w:abstractNumId="16">
    <w:nsid w:val="6DE91B18"/>
    <w:multiLevelType w:val="hybridMultilevel"/>
    <w:lvl w:ilvl="0">
      <w:lvlJc w:val="left"/>
      <w:lvlText w:val="%1."/>
      <w:numFmt w:val="decimal"/>
      <w:start w:val="21"/>
    </w:lvl>
  </w:abstractNum>
  <w:abstractNum w:abstractNumId="17">
    <w:nsid w:val="38437FDB"/>
    <w:multiLevelType w:val="hybridMultilevel"/>
    <w:lvl w:ilvl="0">
      <w:lvlJc w:val="left"/>
      <w:lvlText w:val="%1."/>
      <w:numFmt w:val="decimal"/>
      <w:start w:val="22"/>
    </w:lvl>
  </w:abstractNum>
  <w:abstractNum w:abstractNumId="18">
    <w:nsid w:val="7644A45C"/>
    <w:multiLevelType w:val="hybridMultilevel"/>
    <w:lvl w:ilvl="0">
      <w:lvlJc w:val="left"/>
      <w:lvlText w:val="%1."/>
      <w:numFmt w:val="decimal"/>
      <w:start w:val="23"/>
    </w:lvl>
  </w:abstractNum>
  <w:abstractNum w:abstractNumId="19">
    <w:nsid w:val="32FFF902"/>
    <w:multiLevelType w:val="hybridMultilevel"/>
    <w:lvl w:ilvl="0">
      <w:lvlJc w:val="left"/>
      <w:lvlText w:val="%1."/>
      <w:numFmt w:val="decimal"/>
      <w:start w:val="24"/>
    </w:lvl>
  </w:abstractNum>
  <w:abstractNum w:abstractNumId="20">
    <w:nsid w:val="684A481A"/>
    <w:multiLevelType w:val="hybridMultilevel"/>
    <w:lvl w:ilvl="0">
      <w:lvlJc w:val="left"/>
      <w:lvlText w:val="%1."/>
      <w:numFmt w:val="decimal"/>
      <w:start w:val="25"/>
    </w:lvl>
  </w:abstractNum>
  <w:abstractNum w:abstractNumId="21">
    <w:nsid w:val="579478FE"/>
    <w:multiLevelType w:val="hybridMultilevel"/>
    <w:lvl w:ilvl="0">
      <w:lvlJc w:val="left"/>
      <w:lvlText w:val="%1."/>
      <w:numFmt w:val="decimal"/>
      <w:start w:val="26"/>
    </w:lvl>
  </w:abstractNum>
  <w:abstractNum w:abstractNumId="22">
    <w:nsid w:val="749ABB43"/>
    <w:multiLevelType w:val="hybridMultilevel"/>
    <w:lvl w:ilvl="0">
      <w:lvlJc w:val="left"/>
      <w:lvlText w:val="%1."/>
      <w:numFmt w:val="decimal"/>
      <w:start w:val="27"/>
    </w:lvl>
  </w:abstractNum>
  <w:abstractNum w:abstractNumId="23">
    <w:nsid w:val="3DC240FB"/>
    <w:multiLevelType w:val="hybridMultilevel"/>
    <w:lvl w:ilvl="0">
      <w:lvlJc w:val="left"/>
      <w:lvlText w:val="%1."/>
      <w:numFmt w:val="decimal"/>
      <w:start w:val="28"/>
    </w:lvl>
  </w:abstractNum>
  <w:abstractNum w:abstractNumId="24">
    <w:nsid w:val="1BA026FA"/>
    <w:multiLevelType w:val="hybridMultilevel"/>
    <w:lvl w:ilvl="0">
      <w:lvlJc w:val="left"/>
      <w:lvlText w:val="%1."/>
      <w:numFmt w:val="decimal"/>
      <w:start w:val="29"/>
    </w:lvl>
  </w:abstractNum>
  <w:abstractNum w:abstractNumId="25">
    <w:nsid w:val="79A1DEAA"/>
    <w:multiLevelType w:val="hybridMultilevel"/>
    <w:lvl w:ilvl="0">
      <w:lvlJc w:val="left"/>
      <w:lvlText w:val="%1."/>
      <w:numFmt w:val="decimal"/>
      <w:start w:val="31"/>
    </w:lvl>
  </w:abstractNum>
  <w:abstractNum w:abstractNumId="26">
    <w:nsid w:val="75C6C33A"/>
    <w:multiLevelType w:val="hybridMultilevel"/>
    <w:lvl w:ilvl="0">
      <w:lvlJc w:val="left"/>
      <w:lvlText w:val="%1."/>
      <w:numFmt w:val="decimal"/>
      <w:start w:val="32"/>
    </w:lvl>
  </w:abstractNum>
  <w:abstractNum w:abstractNumId="27">
    <w:nsid w:val="12E685FB"/>
    <w:multiLevelType w:val="hybridMultilevel"/>
    <w:lvl w:ilvl="0">
      <w:lvlJc w:val="left"/>
      <w:lvlText w:val="%1."/>
      <w:numFmt w:val="decimal"/>
      <w:start w:val="33"/>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decimal"/>
      <w:start w:val="1"/>
    </w:lvl>
    <w:lvl w:ilvl="1">
      <w:lvlJc w:val="left"/>
      <w:lvlText w:val="(%2)"/>
      <w:numFmt w:val="lowerLetter"/>
      <w:start w:val="1"/>
    </w:lvl>
  </w:abstractNum>
  <w:abstractNum w:abstractNumId="33">
    <w:nsid w:val="649BB77C"/>
    <w:multiLevelType w:val="hybridMultilevel"/>
    <w:lvl w:ilvl="0">
      <w:lvlJc w:val="left"/>
      <w:lvlText w:val="(%1)"/>
      <w:numFmt w:val="lowerRoman"/>
      <w:start w:val="1"/>
    </w:lvl>
  </w:abstractNum>
  <w:abstractNum w:abstractNumId="34">
    <w:nsid w:val="275AC794"/>
    <w:multiLevelType w:val="hybridMultilevel"/>
    <w:lvl w:ilvl="0">
      <w:lvlJc w:val="left"/>
      <w:lvlText w:val="(%1)"/>
      <w:numFmt w:val="lowerRoman"/>
      <w:start w:val="2"/>
    </w:lvl>
  </w:abstractNum>
  <w:abstractNum w:abstractNumId="35">
    <w:nsid w:val="3938657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6">
    <w:nsid w:val="1CF10FD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7">
    <w:nsid w:val="180115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38">
    <w:nsid w:val="235BA861"/>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9">
    <w:nsid w:val="47398C89"/>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40">
    <w:nsid w:val="354FE9F9"/>
    <w:multiLevelType w:val="hybridMultilevel"/>
    <w:lvl w:ilvl="0">
      <w:lvlJc w:val="left"/>
      <w:lvlText w:val="(%1)"/>
      <w:numFmt w:val="lowerRoman"/>
      <w:start w:val="1"/>
    </w:lvl>
  </w:abstractNum>
  <w:abstractNum w:abstractNumId="41">
    <w:nsid w:val="15B5AF5C"/>
    <w:multiLevelType w:val="hybridMultilevel"/>
    <w:lvl w:ilvl="0">
      <w:lvlJc w:val="left"/>
      <w:lvlText w:val="(%1)"/>
      <w:numFmt w:val="upperLetter"/>
      <w:start w:val="1"/>
    </w:lvl>
  </w:abstractNum>
  <w:abstractNum w:abstractNumId="42">
    <w:nsid w:val="741226BB"/>
    <w:multiLevelType w:val="hybridMultilevel"/>
    <w:lvl w:ilvl="0">
      <w:lvlJc w:val="left"/>
      <w:lvlText w:val="(%1)"/>
      <w:numFmt w:val="upperLetter"/>
      <w:start w:val="3"/>
    </w:lvl>
  </w:abstractNum>
  <w:abstractNum w:abstractNumId="43">
    <w:nsid w:val="D34B6A8"/>
    <w:multiLevelType w:val="hybridMultilevel"/>
    <w:lvl w:ilvl="0">
      <w:lvlJc w:val="left"/>
      <w:lvlText w:val="(%1)"/>
      <w:numFmt w:val="lowerRoman"/>
      <w:start w:val="2"/>
    </w:lvl>
  </w:abstractNum>
  <w:abstractNum w:abstractNumId="44">
    <w:nsid w:val="10233C99"/>
    <w:multiLevelType w:val="hybridMultilevel"/>
    <w:lvl w:ilvl="0">
      <w:lvlJc w:val="left"/>
      <w:lvlText w:val="(%1)"/>
      <w:numFmt w:val="lowerLetter"/>
      <w:start w:val="5"/>
    </w:lvl>
  </w:abstractNum>
  <w:abstractNum w:abstractNumId="45">
    <w:nsid w:val="3F6AB60F"/>
    <w:multiLevelType w:val="hybridMultilevel"/>
    <w:lvl w:ilvl="0">
      <w:lvlJc w:val="left"/>
      <w:lvlText w:val="(%1)"/>
      <w:numFmt w:val="lowerRoman"/>
      <w:start w:val="1"/>
    </w:lvl>
  </w:abstractNum>
  <w:abstractNum w:abstractNumId="46">
    <w:nsid w:val="61574095"/>
    <w:multiLevelType w:val="hybridMultilevel"/>
    <w:lvl w:ilvl="0">
      <w:lvlJc w:val="left"/>
      <w:lvlText w:val="(%1)"/>
      <w:numFmt w:val="upperLetter"/>
      <w:start w:val="1"/>
    </w:lvl>
  </w:abstractNum>
  <w:abstractNum w:abstractNumId="47">
    <w:nsid w:val="7E0C57B1"/>
    <w:multiLevelType w:val="hybridMultilevel"/>
    <w:lvl w:ilvl="0">
      <w:lvlJc w:val="left"/>
      <w:lvlText w:val="(%1)"/>
      <w:numFmt w:val="lowerLetter"/>
      <w:start w:val="6"/>
    </w:lvl>
  </w:abstractNum>
  <w:abstractNum w:abstractNumId="48">
    <w:nsid w:val="77AE35EB"/>
    <w:multiLevelType w:val="hybridMultilevel"/>
    <w:lvl w:ilvl="0">
      <w:lvlJc w:val="left"/>
      <w:lvlText w:val="%1"/>
      <w:numFmt w:val="decimal"/>
      <w:start w:val="1"/>
    </w:lvl>
    <w:lvl w:ilvl="1">
      <w:lvlJc w:val="left"/>
      <w:lvlText w:val="(%2)"/>
      <w:numFmt w:val="lowerLetter"/>
      <w:start w:val="7"/>
    </w:lvl>
  </w:abstractNum>
  <w:abstractNum w:abstractNumId="49">
    <w:nsid w:val="579BE4F1"/>
    <w:multiLevelType w:val="hybridMultilevel"/>
    <w:lvl w:ilvl="0">
      <w:lvlJc w:val="left"/>
      <w:lvlText w:val="%1."/>
      <w:numFmt w:val="decimal"/>
      <w:start w:val="4"/>
    </w:lvl>
    <w:lvl w:ilvl="1">
      <w:lvlJc w:val="left"/>
      <w:lvlText w:val="%2"/>
      <w:numFmt w:val="lowerLetter"/>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decimal"/>
      <w:start w:val="5"/>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7"/>
    </w:lvl>
  </w:abstractNum>
  <w:abstractNum w:abstractNumId="54">
    <w:nsid w:val="1DBABF00"/>
    <w:multiLevelType w:val="hybridMultilevel"/>
    <w:lvl w:ilvl="0">
      <w:lvlJc w:val="left"/>
      <w:lvlText w:val="%1."/>
      <w:numFmt w:val="decimal"/>
      <w:start w:val="6"/>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Roman"/>
      <w:start w:val="1"/>
    </w:lvl>
  </w:abstractNum>
  <w:abstractNum w:abstractNumId="57">
    <w:nsid w:val="1381823A"/>
    <w:multiLevelType w:val="hybridMultilevel"/>
    <w:lvl w:ilvl="0">
      <w:lvlJc w:val="left"/>
      <w:lvlText w:val="(%1)"/>
      <w:numFmt w:val="lowerRoman"/>
      <w:start w:val="5"/>
    </w:lvl>
  </w:abstractNum>
  <w:abstractNum w:abstractNumId="58">
    <w:nsid w:val="5DB70AE5"/>
    <w:multiLevelType w:val="hybridMultilevel"/>
    <w:lvl w:ilvl="0">
      <w:lvlJc w:val="left"/>
      <w:lvlText w:val="(%1)"/>
      <w:numFmt w:val="lowerRoman"/>
      <w:start w:val="7"/>
    </w:lvl>
  </w:abstractNum>
  <w:abstractNum w:abstractNumId="59">
    <w:nsid w:val="100F8FCA"/>
    <w:multiLevelType w:val="hybridMultilevel"/>
    <w:lvl w:ilvl="0">
      <w:lvlJc w:val="left"/>
      <w:lvlText w:val="(%1)"/>
      <w:numFmt w:val="lowerLetter"/>
      <w:start w:val="3"/>
    </w:lvl>
  </w:abstractNum>
  <w:abstractNum w:abstractNumId="60">
    <w:nsid w:val="6590700B"/>
    <w:multiLevelType w:val="hybridMultilevel"/>
    <w:lvl w:ilvl="0">
      <w:lvlJc w:val="left"/>
      <w:lvlText w:val="%1."/>
      <w:numFmt w:val="decimal"/>
      <w:start w:val="8"/>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lowerLetter"/>
      <w:start w:val="3"/>
    </w:lvl>
  </w:abstractNum>
  <w:abstractNum w:abstractNumId="63">
    <w:nsid w:val="98A3148"/>
    <w:multiLevelType w:val="hybridMultilevel"/>
    <w:lvl w:ilvl="0">
      <w:lvlJc w:val="left"/>
      <w:lvlText w:val="(%1)"/>
      <w:numFmt w:val="lowerRoman"/>
      <w:start w:val="1"/>
    </w:lvl>
  </w:abstractNum>
  <w:abstractNum w:abstractNumId="64">
    <w:nsid w:val="799D0247"/>
    <w:multiLevelType w:val="hybridMultilevel"/>
    <w:lvl w:ilvl="0">
      <w:lvlJc w:val="left"/>
      <w:lvlText w:val="%1."/>
      <w:numFmt w:val="decimal"/>
      <w:start w:val="9"/>
    </w:lvl>
  </w:abstractNum>
  <w:abstractNum w:abstractNumId="65">
    <w:nsid w:val="6B94764"/>
    <w:multiLevelType w:val="hybridMultilevel"/>
    <w:lvl w:ilvl="0">
      <w:lvlJc w:val="left"/>
      <w:lvlText w:val="(%1)"/>
      <w:numFmt w:val="lowerLetter"/>
      <w:start w:val="1"/>
    </w:lvl>
    <w:lvl w:ilvl="1">
      <w:lvlJc w:val="left"/>
      <w:lvlText w:val="%2."/>
      <w:numFmt w:val="decimal"/>
      <w:start w:val="10"/>
    </w:lvl>
  </w:abstractNum>
  <w:abstractNum w:abstractNumId="66">
    <w:nsid w:val="42C296BD"/>
    <w:multiLevelType w:val="hybridMultilevel"/>
    <w:lvl w:ilvl="0">
      <w:lvlJc w:val="left"/>
      <w:lvlText w:val="%1."/>
      <w:numFmt w:val="decimal"/>
      <w:start w:val="13"/>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decimal"/>
      <w:start w:val="15"/>
    </w:lvl>
  </w:abstractNum>
  <w:abstractNum w:abstractNumId="69">
    <w:nsid w:val="661E3F1E"/>
    <w:multiLevelType w:val="hybridMultilevel"/>
    <w:lvl w:ilvl="0">
      <w:lvlJc w:val="left"/>
      <w:lvlText w:val="%1."/>
      <w:numFmt w:val="decimal"/>
      <w:start w:val="17"/>
    </w:lvl>
    <w:lvl w:ilvl="1">
      <w:lvlJc w:val="left"/>
      <w:lvlText w:val="%2."/>
      <w:numFmt w:val="decimal"/>
      <w:start w:val="18"/>
    </w:lvl>
  </w:abstractNum>
  <w:abstractNum w:abstractNumId="70">
    <w:nsid w:val="5DC79EA8"/>
    <w:multiLevelType w:val="hybridMultilevel"/>
    <w:lvl w:ilvl="0">
      <w:lvlJc w:val="left"/>
      <w:lvlText w:val="%1"/>
      <w:numFmt w:val="lowerRoman"/>
      <w:start w:val="1"/>
    </w:lvl>
    <w:lvl w:ilvl="1">
      <w:lvlJc w:val="left"/>
      <w:lvlText w:val="%2."/>
      <w:numFmt w:val="decimal"/>
      <w:start w:val="21"/>
    </w:lvl>
  </w:abstractNum>
  <w:abstractNum w:abstractNumId="71">
    <w:nsid w:val="540A471C"/>
    <w:multiLevelType w:val="hybridMultilevel"/>
    <w:lvl w:ilvl="0">
      <w:lvlJc w:val="left"/>
      <w:lvlText w:val="(%1)"/>
      <w:numFmt w:val="lowerRoman"/>
      <w:start w:val="2"/>
    </w:lvl>
    <w:lvl w:ilvl="1">
      <w:lvlJc w:val="left"/>
      <w:lvlText w:val="%2"/>
      <w:numFmt w:val="decimal"/>
      <w:start w:val="1"/>
    </w:lvl>
  </w:abstractNum>
  <w:abstractNum w:abstractNumId="72">
    <w:nsid w:val="7BD3EE7B"/>
    <w:multiLevelType w:val="hybridMultilevel"/>
    <w:lvl w:ilvl="0">
      <w:lvlJc w:val="left"/>
      <w:lvlText w:val="%1."/>
      <w:numFmt w:val="decimal"/>
      <w:start w:val="24"/>
    </w:lvl>
  </w:abstractNum>
  <w:abstractNum w:abstractNumId="73">
    <w:nsid w:val="51D9C564"/>
    <w:multiLevelType w:val="hybridMultilevel"/>
    <w:lvl w:ilvl="0">
      <w:lvlJc w:val="left"/>
      <w:lvlText w:val="(%1)"/>
      <w:numFmt w:val="lowerRoman"/>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2019-12-06T23:59:59Z</dcterms:created>
  <dcterms:modified xsi:type="dcterms:W3CDTF">2019-12-06T23:59:59Z</dcterms:modified>
</cp:coreProperties>
</file>