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___________________________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January 26, 2023</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4" w:lineRule="exact"/>
        <w:rPr>
          <w:sz w:val="24"/>
          <w:szCs w:val="24"/>
          <w:color w:val="auto"/>
        </w:rPr>
      </w:pPr>
    </w:p>
    <w:tbl>
      <w:tblPr>
        <w:tblLayout w:type="fixed"/>
        <w:tblInd w:w="258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Maryland</w:t>
            </w:r>
          </w:p>
        </w:tc>
        <w:tc>
          <w:tcPr>
            <w:tcW w:w="980" w:type="dxa"/>
            <w:vAlign w:val="bottom"/>
          </w:tcPr>
          <w:p>
            <w:pPr>
              <w:spacing w:after="0"/>
              <w:rPr>
                <w:sz w:val="22"/>
                <w:szCs w:val="22"/>
                <w:color w:val="auto"/>
              </w:rPr>
            </w:pPr>
          </w:p>
        </w:tc>
        <w:tc>
          <w:tcPr>
            <w:tcW w:w="1900" w:type="dxa"/>
            <w:vAlign w:val="bottom"/>
            <w:gridSpan w:val="2"/>
          </w:tcPr>
          <w:p>
            <w:pPr>
              <w:jc w:val="center"/>
              <w:ind w:left="884"/>
              <w:spacing w:after="0"/>
              <w:rPr>
                <w:sz w:val="20"/>
                <w:szCs w:val="20"/>
                <w:color w:val="auto"/>
              </w:rPr>
            </w:pPr>
            <w:r>
              <w:rPr>
                <w:rFonts w:ascii="Times New Roman" w:cs="Times New Roman" w:eastAsia="Times New Roman" w:hAnsi="Times New Roman"/>
                <w:sz w:val="22"/>
                <w:szCs w:val="22"/>
                <w:b w:val="1"/>
                <w:bCs w:val="1"/>
                <w:color w:val="auto"/>
                <w:w w:val="96"/>
              </w:rPr>
              <w:t>000-32191</w:t>
            </w:r>
          </w:p>
        </w:tc>
        <w:tc>
          <w:tcPr>
            <w:tcW w:w="500" w:type="dxa"/>
            <w:vAlign w:val="bottom"/>
          </w:tcPr>
          <w:p>
            <w:pPr>
              <w:spacing w:after="0"/>
              <w:rPr>
                <w:sz w:val="22"/>
                <w:szCs w:val="22"/>
                <w:color w:val="auto"/>
              </w:rPr>
            </w:pPr>
          </w:p>
        </w:tc>
        <w:tc>
          <w:tcPr>
            <w:tcW w:w="2100" w:type="dxa"/>
            <w:vAlign w:val="bottom"/>
            <w:gridSpan w:val="3"/>
          </w:tcPr>
          <w:p>
            <w:pPr>
              <w:jc w:val="center"/>
              <w:ind w:left="966"/>
              <w:spacing w:after="0"/>
              <w:rPr>
                <w:sz w:val="20"/>
                <w:szCs w:val="20"/>
                <w:color w:val="auto"/>
              </w:rPr>
            </w:pPr>
            <w:r>
              <w:rPr>
                <w:rFonts w:ascii="Times New Roman" w:cs="Times New Roman" w:eastAsia="Times New Roman" w:hAnsi="Times New Roman"/>
                <w:sz w:val="22"/>
                <w:szCs w:val="22"/>
                <w:b w:val="1"/>
                <w:bCs w:val="1"/>
                <w:color w:val="auto"/>
                <w:w w:val="97"/>
              </w:rPr>
              <w:t>52-2264646</w:t>
            </w:r>
          </w:p>
        </w:tc>
        <w:tc>
          <w:tcPr>
            <w:tcW w:w="14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(State of</w:t>
            </w:r>
          </w:p>
        </w:tc>
        <w:tc>
          <w:tcPr>
            <w:tcW w:w="980" w:type="dxa"/>
            <w:vAlign w:val="bottom"/>
          </w:tcPr>
          <w:p>
            <w:pPr>
              <w:spacing w:after="0"/>
              <w:rPr>
                <w:sz w:val="19"/>
                <w:szCs w:val="19"/>
                <w:color w:val="auto"/>
              </w:rPr>
            </w:pPr>
          </w:p>
        </w:tc>
        <w:tc>
          <w:tcPr>
            <w:tcW w:w="2400" w:type="dxa"/>
            <w:vAlign w:val="bottom"/>
            <w:gridSpan w:val="3"/>
          </w:tcPr>
          <w:p>
            <w:pPr>
              <w:jc w:val="center"/>
              <w:ind w:left="344"/>
              <w:spacing w:after="0"/>
              <w:rPr>
                <w:sz w:val="20"/>
                <w:szCs w:val="20"/>
                <w:color w:val="auto"/>
              </w:rPr>
            </w:pPr>
            <w:r>
              <w:rPr>
                <w:rFonts w:ascii="Times New Roman" w:cs="Times New Roman" w:eastAsia="Times New Roman" w:hAnsi="Times New Roman"/>
                <w:sz w:val="18"/>
                <w:szCs w:val="18"/>
                <w:color w:val="auto"/>
                <w:w w:val="98"/>
              </w:rPr>
              <w:t>(Commission</w:t>
            </w:r>
          </w:p>
        </w:tc>
        <w:tc>
          <w:tcPr>
            <w:tcW w:w="2240" w:type="dxa"/>
            <w:vAlign w:val="bottom"/>
            <w:gridSpan w:val="4"/>
          </w:tcPr>
          <w:p>
            <w:pPr>
              <w:jc w:val="center"/>
              <w:ind w:left="766"/>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w:t>
            </w:r>
          </w:p>
        </w:tc>
        <w:tc>
          <w:tcPr>
            <w:tcW w:w="2400" w:type="dxa"/>
            <w:vAlign w:val="bottom"/>
            <w:gridSpan w:val="3"/>
          </w:tcPr>
          <w:p>
            <w:pPr>
              <w:jc w:val="center"/>
              <w:ind w:left="384"/>
              <w:spacing w:after="0"/>
              <w:rPr>
                <w:sz w:val="20"/>
                <w:szCs w:val="20"/>
                <w:color w:val="auto"/>
              </w:rPr>
            </w:pPr>
            <w:r>
              <w:rPr>
                <w:rFonts w:ascii="Times New Roman" w:cs="Times New Roman" w:eastAsia="Times New Roman" w:hAnsi="Times New Roman"/>
                <w:sz w:val="18"/>
                <w:szCs w:val="18"/>
                <w:color w:val="auto"/>
                <w:w w:val="98"/>
              </w:rPr>
              <w:t>File Number)</w:t>
            </w:r>
          </w:p>
        </w:tc>
        <w:tc>
          <w:tcPr>
            <w:tcW w:w="2240" w:type="dxa"/>
            <w:vAlign w:val="bottom"/>
            <w:gridSpan w:val="4"/>
          </w:tcPr>
          <w:p>
            <w:pPr>
              <w:jc w:val="center"/>
              <w:ind w:left="806"/>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3"/>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Borders>
              <w:bottom w:val="single" w:sz="8" w:color="auto"/>
            </w:tcBorders>
            <w:gridSpan w:val="7"/>
          </w:tcPr>
          <w:p>
            <w:pPr>
              <w:spacing w:after="0"/>
              <w:rPr>
                <w:sz w:val="20"/>
                <w:szCs w:val="20"/>
                <w:color w:val="auto"/>
              </w:rPr>
            </w:pPr>
            <w:r>
              <w:rPr>
                <w:rFonts w:ascii="Arial" w:cs="Arial" w:eastAsia="Arial" w:hAnsi="Arial"/>
                <w:sz w:val="22"/>
                <w:szCs w:val="22"/>
                <w:b w:val="1"/>
                <w:bCs w:val="1"/>
                <w:color w:val="auto"/>
                <w:w w:val="97"/>
              </w:rPr>
              <w:t>100 East Pratt Street, Baltimore, Maryland 21202</w:t>
            </w:r>
          </w:p>
        </w:tc>
        <w:tc>
          <w:tcPr>
            <w:tcW w:w="1080" w:type="dxa"/>
            <w:vAlign w:val="bottom"/>
            <w:gridSpan w:val="2"/>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u w:val="single" w:color="auto"/>
          <w:color w:val="auto"/>
        </w:rPr>
        <w:t>(410) 345-2000</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of Former Address, if Changed Since Last Report)</w:t>
      </w:r>
    </w:p>
    <w:p>
      <w:pPr>
        <w:spacing w:after="0" w:line="23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02" w:right="339" w:bottom="1440" w:gutter="0" w:footer="0" w:header="0"/>
        </w:sectPr>
      </w:pPr>
    </w:p>
    <w:p>
      <w:pPr>
        <w:spacing w:after="0" w:line="158" w:lineRule="exact"/>
        <w:rPr>
          <w:sz w:val="24"/>
          <w:szCs w:val="24"/>
          <w:color w:val="auto"/>
        </w:rPr>
      </w:pPr>
    </w:p>
    <w:p>
      <w:pPr>
        <w:ind w:left="182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3640" w:space="720"/>
            <w:col w:w="1360" w:space="460"/>
            <w:col w:w="5060"/>
          </w:cols>
          <w:pgMar w:left="320" w:top="1002"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Common Stock, par value $0.20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TROW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Stock Market LLC</w:t>
      </w:r>
    </w:p>
    <w:p>
      <w:pPr>
        <w:spacing w:after="0" w:line="200" w:lineRule="exact"/>
        <w:rPr>
          <w:sz w:val="24"/>
          <w:szCs w:val="24"/>
          <w:color w:val="auto"/>
        </w:rPr>
      </w:pPr>
    </w:p>
    <w:p>
      <w:pPr>
        <w:sectPr>
          <w:pgSz w:w="11900" w:h="16838" w:orient="portrait"/>
          <w:cols w:equalWidth="0" w:num="3">
            <w:col w:w="4040" w:space="720"/>
            <w:col w:w="1300" w:space="720"/>
            <w:col w:w="4460"/>
          </w:cols>
          <w:pgMar w:left="320" w:top="1002" w:right="339" w:bottom="1440" w:gutter="0" w:footer="0" w:header="0"/>
          <w:type w:val="continuous"/>
        </w:sectPr>
      </w:pPr>
    </w:p>
    <w:p>
      <w:pPr>
        <w:spacing w:after="0" w:line="158"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(§240.12-2 of this chapter).</w:t>
      </w:r>
    </w:p>
    <w:p>
      <w:pPr>
        <w:spacing w:after="0" w:line="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2 -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On January 26, 2023 we issued an earnings release reporting our fourth quarter and full year results for 2022. A copy of this earnings release is attached hereto as Exhibit 99.1 and is incorporated by reference.</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in this Current Report on Form 8-K and the Exhibit attached hereto shall not be deemed to be “filed” for the purposes of Section 18 of the Securities and Exchange Act of 1934, as amended, nor shall it be deemed incorporated by reference in any filing under the Securities Act of 1933, except as shall be expressly set forth by specific reference in such filing.</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xml:space="preserve">99.1 </w:t>
      </w:r>
      <w:r>
        <w:rPr>
          <w:rFonts w:ascii="Arial" w:cs="Arial" w:eastAsia="Arial" w:hAnsi="Arial"/>
          <w:sz w:val="17"/>
          <w:szCs w:val="17"/>
          <w:color w:val="auto"/>
        </w:rPr>
        <w:t>Earnings Release dated January 26, 2023.</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Jennifer B. Dardis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Jennifer B. Dardis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Chief Financial Officer and Treasurer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Date: January 26, 2023</w:t>
      </w:r>
    </w:p>
    <w:p>
      <w:pPr>
        <w:sectPr>
          <w:pgSz w:w="11900" w:h="16838" w:orient="portrait"/>
          <w:cols w:equalWidth="0" w:num="1">
            <w:col w:w="11180"/>
          </w:cols>
          <w:pgMar w:left="320" w:top="989"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FOURTH QUARTER AND FULL YEAR 2022 RESULTS</w:t>
      </w:r>
    </w:p>
    <w:p>
      <w:pPr>
        <w:spacing w:after="0" w:line="121" w:lineRule="exact"/>
        <w:rPr>
          <w:sz w:val="20"/>
          <w:szCs w:val="20"/>
          <w:color w:val="auto"/>
        </w:rPr>
      </w:pPr>
    </w:p>
    <w:p>
      <w:pPr>
        <w:ind w:right="220"/>
        <w:spacing w:after="0" w:line="354" w:lineRule="auto"/>
        <w:rPr>
          <w:sz w:val="20"/>
          <w:szCs w:val="20"/>
          <w:color w:val="auto"/>
        </w:rPr>
      </w:pPr>
      <w:r>
        <w:rPr>
          <w:rFonts w:ascii="Arial" w:cs="Arial" w:eastAsia="Arial" w:hAnsi="Arial"/>
          <w:sz w:val="18"/>
          <w:szCs w:val="18"/>
          <w:color w:val="auto"/>
        </w:rPr>
        <w:t>BALTIMORE (January 26, 2023) - T. Rowe Price Group, Inc. (NASDAQ-GS: TROW) today reported its results for the fourth quarter and full year of 2022.</w:t>
      </w:r>
    </w:p>
    <w:p>
      <w:pPr>
        <w:spacing w:after="0" w:line="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40AEFF"/>
        </w:rPr>
      </w:pPr>
      <w:r>
        <w:rPr>
          <w:rFonts w:ascii="Arial" w:cs="Arial" w:eastAsia="Arial" w:hAnsi="Arial"/>
          <w:sz w:val="16"/>
          <w:szCs w:val="16"/>
          <w:b w:val="1"/>
          <w:bCs w:val="1"/>
          <w:color w:val="auto"/>
        </w:rPr>
        <w:t>Year-end assets under management of $1.27 trillion</w:t>
      </w:r>
    </w:p>
    <w:p>
      <w:pPr>
        <w:spacing w:after="0" w:line="99" w:lineRule="exact"/>
        <w:rPr>
          <w:rFonts w:ascii="Arial" w:cs="Arial" w:eastAsia="Arial" w:hAnsi="Arial"/>
          <w:sz w:val="16"/>
          <w:szCs w:val="16"/>
          <w:b w:val="1"/>
          <w:b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Net client outflows of $17.1 billion for Q4 2022 and $61.7 billion for 2022</w:t>
      </w:r>
    </w:p>
    <w:p>
      <w:pPr>
        <w:spacing w:after="0" w:line="99"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Net revenues of $1.5 billion for Q4 2022 and $6.5 billion for 2022</w:t>
      </w:r>
    </w:p>
    <w:p>
      <w:pPr>
        <w:spacing w:after="0" w:line="99" w:lineRule="exact"/>
        <w:rPr>
          <w:rFonts w:ascii="Arial" w:cs="Arial" w:eastAsia="Arial" w:hAnsi="Arial"/>
          <w:sz w:val="16"/>
          <w:szCs w:val="16"/>
          <w:b w:val="1"/>
          <w:bCs w:val="1"/>
          <w:i w:val="1"/>
          <w:iCs w:val="1"/>
          <w:color w:val="40AEFF"/>
        </w:rPr>
      </w:pPr>
    </w:p>
    <w:p>
      <w:pPr>
        <w:ind w:left="660" w:right="220" w:hanging="328"/>
        <w:spacing w:after="0" w:line="369" w:lineRule="auto"/>
        <w:tabs>
          <w:tab w:leader="none" w:pos="65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Diluted earnings per common share (EPS) of $1.16 for Q4 2022 and $6.70 for 2022 reflects $202 million in non-cash impairment charges related to certain intangible and other acquisition-related assets</w:t>
      </w:r>
    </w:p>
    <w:p>
      <w:pPr>
        <w:spacing w:after="0" w:line="1"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Adjusted diluted EPS of $1.74 for Q4 2022 and $8.02 for 2022</w:t>
      </w:r>
    </w:p>
    <w:p>
      <w:pPr>
        <w:spacing w:after="0" w:line="99" w:lineRule="exact"/>
        <w:rPr>
          <w:rFonts w:ascii="Arial" w:cs="Arial" w:eastAsia="Arial" w:hAnsi="Arial"/>
          <w:sz w:val="16"/>
          <w:szCs w:val="16"/>
          <w:b w:val="1"/>
          <w:bCs w:val="1"/>
          <w:i w:val="1"/>
          <w:iCs w:val="1"/>
          <w:color w:val="40AEFF"/>
        </w:rPr>
      </w:pPr>
    </w:p>
    <w:p>
      <w:pPr>
        <w:ind w:left="660" w:right="700" w:hanging="328"/>
        <w:spacing w:after="0" w:line="361" w:lineRule="auto"/>
        <w:tabs>
          <w:tab w:leader="none" w:pos="65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Returned $387.3 million to stockholders in Q4 2022</w:t>
      </w:r>
      <w:r>
        <w:rPr>
          <w:rFonts w:ascii="Arial" w:cs="Arial" w:eastAsia="Arial" w:hAnsi="Arial"/>
          <w:sz w:val="16"/>
          <w:szCs w:val="16"/>
          <w:color w:val="auto"/>
        </w:rPr>
        <w:t>,</w:t>
      </w:r>
      <w:r>
        <w:rPr>
          <w:rFonts w:ascii="Arial" w:cs="Arial" w:eastAsia="Arial" w:hAnsi="Arial"/>
          <w:sz w:val="16"/>
          <w:szCs w:val="16"/>
          <w:b w:val="1"/>
          <w:bCs w:val="1"/>
          <w:color w:val="auto"/>
        </w:rPr>
        <w:t xml:space="preserve"> including $111.3 million of share repurchases; For 2022, $1,964.0 million was returned, including $855.3 million of share repurchases</w:t>
      </w:r>
    </w:p>
    <w:p>
      <w:pPr>
        <w:ind w:left="640" w:hanging="308"/>
        <w:spacing w:after="0"/>
        <w:tabs>
          <w:tab w:leader="none" w:pos="640" w:val="left"/>
        </w:tabs>
        <w:numPr>
          <w:ilvl w:val="0"/>
          <w:numId w:val="2"/>
        </w:numPr>
        <w:rPr>
          <w:rFonts w:ascii="Arial" w:cs="Arial" w:eastAsia="Arial" w:hAnsi="Arial"/>
          <w:sz w:val="16"/>
          <w:szCs w:val="16"/>
          <w:b w:val="1"/>
          <w:bCs w:val="1"/>
          <w:color w:val="40AEFF"/>
        </w:rPr>
      </w:pPr>
      <w:r>
        <w:rPr>
          <w:rFonts w:ascii="Arial" w:cs="Arial" w:eastAsia="Arial" w:hAnsi="Arial"/>
          <w:sz w:val="16"/>
          <w:szCs w:val="16"/>
          <w:b w:val="1"/>
          <w:bCs w:val="1"/>
          <w:color w:val="auto"/>
        </w:rPr>
        <w:t>Solid investment performance over longer time horizons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Borders>
              <w:top w:val="single" w:sz="8" w:color="auto"/>
              <w:left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900" w:type="dxa"/>
            <w:vAlign w:val="bottom"/>
            <w:tcBorders>
              <w:top w:val="single" w:sz="8" w:color="auto"/>
              <w:bottom w:val="single" w:sz="8" w:color="auto"/>
              <w:right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Three months ended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color w:val="auto"/>
              </w:rPr>
              <w:t>Year ended</w:t>
            </w:r>
          </w:p>
        </w:tc>
        <w:tc>
          <w:tcPr>
            <w:tcW w:w="90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7"/>
                <w:szCs w:val="17"/>
                <w:color w:val="auto"/>
              </w:rPr>
            </w:pPr>
          </w:p>
        </w:tc>
        <w:tc>
          <w:tcPr>
            <w:tcW w:w="920" w:type="dxa"/>
            <w:vAlign w:val="bottom"/>
          </w:tcPr>
          <w:p>
            <w:pPr>
              <w:jc w:val="right"/>
              <w:ind w:right="53"/>
              <w:spacing w:after="0" w:line="168" w:lineRule="exact"/>
              <w:rPr>
                <w:sz w:val="20"/>
                <w:szCs w:val="20"/>
                <w:color w:val="auto"/>
              </w:rPr>
            </w:pPr>
            <w:r>
              <w:rPr>
                <w:rFonts w:ascii="Arial" w:cs="Arial" w:eastAsia="Arial" w:hAnsi="Arial"/>
                <w:sz w:val="13"/>
                <w:szCs w:val="13"/>
                <w:color w:val="auto"/>
                <w:w w:val="98"/>
              </w:rPr>
              <w:t>12/31/2022</w:t>
            </w:r>
            <w:r>
              <w:rPr>
                <w:rFonts w:ascii="Arial" w:cs="Arial" w:eastAsia="Arial" w:hAnsi="Arial"/>
                <w:sz w:val="17"/>
                <w:szCs w:val="17"/>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12/31/2021</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ind w:left="200"/>
              <w:spacing w:after="0"/>
              <w:rPr>
                <w:sz w:val="20"/>
                <w:szCs w:val="20"/>
                <w:color w:val="auto"/>
              </w:rPr>
            </w:pPr>
            <w:r>
              <w:rPr>
                <w:rFonts w:ascii="Arial" w:cs="Arial" w:eastAsia="Arial" w:hAnsi="Arial"/>
                <w:sz w:val="13"/>
                <w:szCs w:val="13"/>
                <w:color w:val="auto"/>
              </w:rPr>
              <w:t>Change</w:t>
            </w:r>
          </w:p>
        </w:tc>
        <w:tc>
          <w:tcPr>
            <w:tcW w:w="100" w:type="dxa"/>
            <w:vAlign w:val="bottom"/>
          </w:tcPr>
          <w:p>
            <w:pPr>
              <w:spacing w:after="0"/>
              <w:rPr>
                <w:sz w:val="17"/>
                <w:szCs w:val="17"/>
                <w:color w:val="auto"/>
              </w:rPr>
            </w:pPr>
          </w:p>
        </w:tc>
        <w:tc>
          <w:tcPr>
            <w:tcW w:w="840" w:type="dxa"/>
            <w:vAlign w:val="bottom"/>
          </w:tcPr>
          <w:p>
            <w:pPr>
              <w:jc w:val="right"/>
              <w:ind w:right="53"/>
              <w:spacing w:after="0" w:line="168" w:lineRule="exact"/>
              <w:rPr>
                <w:sz w:val="20"/>
                <w:szCs w:val="20"/>
                <w:color w:val="auto"/>
              </w:rPr>
            </w:pPr>
            <w:r>
              <w:rPr>
                <w:rFonts w:ascii="Arial" w:cs="Arial" w:eastAsia="Arial" w:hAnsi="Arial"/>
                <w:sz w:val="13"/>
                <w:szCs w:val="13"/>
                <w:color w:val="auto"/>
                <w:w w:val="97"/>
              </w:rPr>
              <w:t>9/30/2022</w:t>
            </w:r>
            <w:r>
              <w:rPr>
                <w:rFonts w:ascii="Arial" w:cs="Arial" w:eastAsia="Arial" w:hAnsi="Arial"/>
                <w:sz w:val="17"/>
                <w:szCs w:val="17"/>
                <w:color w:val="auto"/>
                <w:w w:val="97"/>
                <w:vertAlign w:val="superscript"/>
              </w:rPr>
              <w:t>(1)</w:t>
            </w:r>
          </w:p>
        </w:tc>
        <w:tc>
          <w:tcPr>
            <w:tcW w:w="100" w:type="dxa"/>
            <w:vAlign w:val="bottom"/>
          </w:tcPr>
          <w:p>
            <w:pPr>
              <w:spacing w:after="0"/>
              <w:rPr>
                <w:sz w:val="17"/>
                <w:szCs w:val="17"/>
                <w:color w:val="auto"/>
              </w:rPr>
            </w:pP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3"/>
                <w:szCs w:val="13"/>
                <w:color w:val="auto"/>
              </w:rPr>
              <w:t>Change</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53"/>
              <w:spacing w:after="0" w:line="168" w:lineRule="exact"/>
              <w:rPr>
                <w:sz w:val="20"/>
                <w:szCs w:val="20"/>
                <w:color w:val="auto"/>
              </w:rPr>
            </w:pPr>
            <w:r>
              <w:rPr>
                <w:rFonts w:ascii="Arial" w:cs="Arial" w:eastAsia="Arial" w:hAnsi="Arial"/>
                <w:sz w:val="13"/>
                <w:szCs w:val="13"/>
                <w:color w:val="auto"/>
                <w:w w:val="98"/>
              </w:rPr>
              <w:t>12/31/2022</w:t>
            </w:r>
            <w:r>
              <w:rPr>
                <w:rFonts w:ascii="Arial" w:cs="Arial" w:eastAsia="Arial" w:hAnsi="Arial"/>
                <w:sz w:val="17"/>
                <w:szCs w:val="17"/>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12/31/2021</w:t>
            </w:r>
          </w:p>
        </w:tc>
        <w:tc>
          <w:tcPr>
            <w:tcW w:w="100" w:type="dxa"/>
            <w:vAlign w:val="bottom"/>
          </w:tcPr>
          <w:p>
            <w:pPr>
              <w:spacing w:after="0"/>
              <w:rPr>
                <w:sz w:val="17"/>
                <w:szCs w:val="17"/>
                <w:color w:val="auto"/>
              </w:rPr>
            </w:pPr>
          </w:p>
        </w:tc>
        <w:tc>
          <w:tcPr>
            <w:tcW w:w="9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48"/>
        </w:trPr>
        <w:tc>
          <w:tcPr>
            <w:tcW w:w="2880" w:type="dxa"/>
            <w:vAlign w:val="bottom"/>
            <w:tcBorders>
              <w:top w:val="single" w:sz="8" w:color="CCEEFF"/>
              <w:left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U.S. GAAP basis</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Investment advisory fees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7,098.1</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tcPr>
          <w:p>
            <w:pPr>
              <w:ind w:left="40"/>
              <w:spacing w:after="0" w:line="189" w:lineRule="exact"/>
              <w:rPr>
                <w:sz w:val="20"/>
                <w:szCs w:val="20"/>
                <w:color w:val="auto"/>
              </w:rPr>
            </w:pPr>
            <w:r>
              <w:rPr>
                <w:rFonts w:ascii="Arial" w:cs="Arial" w:eastAsia="Arial" w:hAnsi="Arial"/>
                <w:sz w:val="13"/>
                <w:szCs w:val="13"/>
                <w:color w:val="auto"/>
              </w:rPr>
              <w:t>Capital allocation-based income</w:t>
            </w:r>
            <w:r>
              <w:rPr>
                <w:rFonts w:ascii="Arial" w:cs="Arial" w:eastAsia="Arial" w:hAnsi="Arial"/>
                <w:sz w:val="17"/>
                <w:szCs w:val="17"/>
                <w:color w:val="auto"/>
                <w:vertAlign w:val="superscript"/>
              </w:rPr>
              <w:t>(2)(3)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gridSpan w:val="2"/>
          </w:tcPr>
          <w:p>
            <w:pPr>
              <w:ind w:left="620"/>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ind w:left="580"/>
              <w:spacing w:after="0"/>
              <w:rPr>
                <w:sz w:val="20"/>
                <w:szCs w:val="20"/>
                <w:color w:val="auto"/>
              </w:rPr>
            </w:pPr>
            <w:r>
              <w:rPr>
                <w:rFonts w:ascii="Arial" w:cs="Arial" w:eastAsia="Arial" w:hAnsi="Arial"/>
                <w:sz w:val="13"/>
                <w:szCs w:val="13"/>
                <w:color w:val="auto"/>
              </w:rPr>
              <w:t>n/m</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7,671.9</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83"/>
        </w:trPr>
        <w:tc>
          <w:tcPr>
            <w:tcW w:w="28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Operating expenses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1,271.1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1,099.2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15.6 %</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1,013.6</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25.4 %</w:t>
            </w: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4,114.7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3,961.9</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195"/>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3,710.0</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tcPr>
          <w:p>
            <w:pPr>
              <w:ind w:left="40"/>
              <w:spacing w:after="0" w:line="189" w:lineRule="exact"/>
              <w:rPr>
                <w:sz w:val="20"/>
                <w:szCs w:val="20"/>
                <w:color w:val="auto"/>
              </w:rPr>
            </w:pPr>
            <w:r>
              <w:rPr>
                <w:rFonts w:ascii="Arial" w:cs="Arial" w:eastAsia="Arial" w:hAnsi="Arial"/>
                <w:sz w:val="13"/>
                <w:szCs w:val="13"/>
                <w:color w:val="auto"/>
              </w:rPr>
              <w:t>Non-operating income (loss)</w:t>
            </w:r>
            <w:r>
              <w:rPr>
                <w:rFonts w:ascii="Arial" w:cs="Arial" w:eastAsia="Arial" w:hAnsi="Arial"/>
                <w:sz w:val="17"/>
                <w:szCs w:val="17"/>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ind w:left="620"/>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ind w:left="580"/>
              <w:spacing w:after="0"/>
              <w:rPr>
                <w:sz w:val="20"/>
                <w:szCs w:val="20"/>
                <w:color w:val="auto"/>
              </w:rPr>
            </w:pPr>
            <w:r>
              <w:rPr>
                <w:rFonts w:ascii="Arial" w:cs="Arial" w:eastAsia="Arial" w:hAnsi="Arial"/>
                <w:sz w:val="13"/>
                <w:szCs w:val="13"/>
                <w:color w:val="auto"/>
              </w:rPr>
              <w:t>n/m</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284.6</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Net income attributable to T. Rowe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3,082.9</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83"/>
        </w:trPr>
        <w:tc>
          <w:tcPr>
            <w:tcW w:w="28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42"/>
        </w:trPr>
        <w:tc>
          <w:tcPr>
            <w:tcW w:w="2880" w:type="dxa"/>
            <w:vAlign w:val="bottom"/>
            <w:tcBorders>
              <w:left w:val="single" w:sz="8" w:color="auto"/>
            </w:tcBorders>
            <w:gridSpan w:val="5"/>
            <w:shd w:val="clear" w:color="auto" w:fill="CCEEFF"/>
          </w:tcPr>
          <w:p>
            <w:pPr>
              <w:ind w:left="40"/>
              <w:spacing w:after="0" w:line="142" w:lineRule="exact"/>
              <w:rPr>
                <w:sz w:val="20"/>
                <w:szCs w:val="20"/>
                <w:color w:val="auto"/>
              </w:rPr>
            </w:pPr>
            <w:r>
              <w:rPr>
                <w:rFonts w:ascii="Arial" w:cs="Arial" w:eastAsia="Arial" w:hAnsi="Arial"/>
                <w:sz w:val="13"/>
                <w:szCs w:val="13"/>
                <w:color w:val="auto"/>
              </w:rPr>
              <w:t>Weighted average common shares</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226.3</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8"/>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outstanding assuming dilution</w:t>
            </w: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80" w:type="dxa"/>
            <w:vAlign w:val="bottom"/>
            <w:tcBorders>
              <w:left w:val="single" w:sz="8" w:color="auto"/>
            </w:tcBorders>
            <w:gridSpan w:val="5"/>
            <w:shd w:val="clear" w:color="auto" w:fill="CCEEFF"/>
          </w:tcPr>
          <w:p>
            <w:pPr>
              <w:ind w:left="40"/>
              <w:spacing w:after="0" w:line="149" w:lineRule="exact"/>
              <w:rPr>
                <w:sz w:val="20"/>
                <w:szCs w:val="20"/>
                <w:color w:val="auto"/>
              </w:rPr>
            </w:pPr>
            <w:r>
              <w:rPr>
                <w:rFonts w:ascii="Arial" w:cs="Arial" w:eastAsia="Arial" w:hAnsi="Arial"/>
                <w:sz w:val="13"/>
                <w:szCs w:val="13"/>
                <w:b w:val="1"/>
                <w:bCs w:val="1"/>
                <w:color w:val="auto"/>
              </w:rPr>
              <w:t>Adjusted basis</w:t>
            </w:r>
            <w:r>
              <w:rPr>
                <w:rFonts w:ascii="Arial" w:cs="Arial" w:eastAsia="Arial" w:hAnsi="Arial"/>
                <w:sz w:val="17"/>
                <w:szCs w:val="17"/>
                <w:b w:val="1"/>
                <w:bCs w:val="1"/>
                <w:color w:val="auto"/>
                <w:vertAlign w:val="superscript"/>
              </w:rPr>
              <w:t>(4)</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Operating expenses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1,073.2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1,042.1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1,028.2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4.4 %</w:t>
            </w: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4,087.8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3,840.3</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95"/>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3,837.1</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tcPr>
          <w:p>
            <w:pPr>
              <w:ind w:left="40"/>
              <w:spacing w:after="0" w:line="189" w:lineRule="exact"/>
              <w:rPr>
                <w:sz w:val="20"/>
                <w:szCs w:val="20"/>
                <w:color w:val="auto"/>
              </w:rPr>
            </w:pPr>
            <w:r>
              <w:rPr>
                <w:rFonts w:ascii="Arial" w:cs="Arial" w:eastAsia="Arial" w:hAnsi="Arial"/>
                <w:sz w:val="13"/>
                <w:szCs w:val="13"/>
                <w:color w:val="auto"/>
              </w:rPr>
              <w:t>Non-operating income (loss)</w:t>
            </w:r>
            <w:r>
              <w:rPr>
                <w:rFonts w:ascii="Arial" w:cs="Arial" w:eastAsia="Arial" w:hAnsi="Arial"/>
                <w:sz w:val="17"/>
                <w:szCs w:val="17"/>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ind w:left="620"/>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ind w:left="580"/>
              <w:spacing w:after="0"/>
              <w:rPr>
                <w:sz w:val="20"/>
                <w:szCs w:val="20"/>
                <w:color w:val="auto"/>
              </w:rPr>
            </w:pPr>
            <w:r>
              <w:rPr>
                <w:rFonts w:ascii="Arial" w:cs="Arial" w:eastAsia="Arial" w:hAnsi="Arial"/>
                <w:sz w:val="13"/>
                <w:szCs w:val="13"/>
                <w:color w:val="auto"/>
              </w:rPr>
              <w:t>n/m</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Net income attributable to T. Rowe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2,995.3</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CCEEFF"/>
            </w:tcBorders>
            <w:gridSpan w:val="5"/>
          </w:tcPr>
          <w:p>
            <w:pPr>
              <w:ind w:left="40"/>
              <w:spacing w:after="0"/>
              <w:rPr>
                <w:sz w:val="20"/>
                <w:szCs w:val="20"/>
                <w:color w:val="auto"/>
              </w:rPr>
            </w:pPr>
            <w:r>
              <w:rPr>
                <w:rFonts w:ascii="Arial" w:cs="Arial" w:eastAsia="Arial" w:hAnsi="Arial"/>
                <w:sz w:val="13"/>
                <w:szCs w:val="13"/>
                <w:color w:val="auto"/>
              </w:rPr>
              <w:t>Diluted earnings per common share</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12.75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48"/>
        </w:trPr>
        <w:tc>
          <w:tcPr>
            <w:tcW w:w="2880" w:type="dxa"/>
            <w:vAlign w:val="bottom"/>
            <w:tcBorders>
              <w:left w:val="single" w:sz="8" w:color="auto"/>
            </w:tcBorders>
            <w:gridSpan w:val="5"/>
          </w:tcPr>
          <w:p>
            <w:pPr>
              <w:ind w:left="40"/>
              <w:spacing w:after="0" w:line="149" w:lineRule="exact"/>
              <w:rPr>
                <w:sz w:val="20"/>
                <w:szCs w:val="20"/>
                <w:color w:val="auto"/>
              </w:rPr>
            </w:pPr>
            <w:r>
              <w:rPr>
                <w:rFonts w:ascii="Arial" w:cs="Arial" w:eastAsia="Arial" w:hAnsi="Arial"/>
                <w:sz w:val="13"/>
                <w:szCs w:val="13"/>
                <w:b w:val="1"/>
                <w:bCs w:val="1"/>
                <w:color w:val="auto"/>
              </w:rPr>
              <w:t xml:space="preserve">Assets under management </w:t>
            </w:r>
            <w:r>
              <w:rPr>
                <w:rFonts w:ascii="Arial" w:cs="Arial" w:eastAsia="Arial" w:hAnsi="Arial"/>
                <w:sz w:val="17"/>
                <w:szCs w:val="17"/>
                <w:b w:val="1"/>
                <w:bCs w:val="1"/>
                <w:color w:val="auto"/>
                <w:vertAlign w:val="superscript"/>
              </w:rPr>
              <w:t>(5)</w:t>
            </w:r>
            <w:r>
              <w:rPr>
                <w:rFonts w:ascii="Arial" w:cs="Arial" w:eastAsia="Arial" w:hAnsi="Arial"/>
                <w:sz w:val="13"/>
                <w:szCs w:val="13"/>
                <w:b w:val="1"/>
                <w:bCs w:val="1"/>
                <w:color w:val="auto"/>
              </w:rPr>
              <w:t xml:space="preserve"> </w:t>
            </w:r>
            <w:r>
              <w:rPr>
                <w:rFonts w:ascii="Arial" w:cs="Arial" w:eastAsia="Arial" w:hAnsi="Arial"/>
                <w:sz w:val="13"/>
                <w:szCs w:val="13"/>
                <w:color w:val="auto"/>
              </w:rPr>
              <w:t>(in billions)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color w:val="auto"/>
              </w:rPr>
              <w:t>Average assets under management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1,599.3</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CCEEFF"/>
            </w:tcBorders>
            <w:gridSpan w:val="5"/>
          </w:tcPr>
          <w:p>
            <w:pPr>
              <w:ind w:left="40"/>
              <w:spacing w:after="0"/>
              <w:rPr>
                <w:sz w:val="20"/>
                <w:szCs w:val="20"/>
                <w:color w:val="auto"/>
              </w:rPr>
            </w:pPr>
            <w:r>
              <w:rPr>
                <w:rFonts w:ascii="Arial" w:cs="Arial" w:eastAsia="Arial" w:hAnsi="Arial"/>
                <w:sz w:val="13"/>
                <w:szCs w:val="13"/>
                <w:color w:val="auto"/>
              </w:rPr>
              <w:t>Ending assets under management</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1,274.7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1,687.8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1,230.0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3.6 %</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1,274.7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1,687.8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83"/>
        </w:trPr>
        <w:tc>
          <w:tcPr>
            <w:tcW w:w="288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3"/>
                <w:szCs w:val="13"/>
                <w:color w:val="auto"/>
              </w:rPr>
              <w:t>Investment advisory effective fee rate (bps)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firm's operating results for the three months and year ended 12/31/2022 and three months ended 9/30/2022 include the results of OHA following its acquisition on December 29, 2021.</w:t>
      </w:r>
    </w:p>
    <w:p>
      <w:pPr>
        <w:ind w:left="140" w:hanging="132"/>
        <w:spacing w:after="0" w:line="214" w:lineRule="auto"/>
        <w:tabs>
          <w:tab w:leader="none" w:pos="140" w:val="left"/>
        </w:tabs>
        <w:numPr>
          <w:ilvl w:val="0"/>
          <w:numId w:val="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Capital allocation-based income fluctuates period to period as it reflects the adjustment to accrued carried interest. The realization of accrued carried interest occurs over a number of years. For Q4</w:t>
      </w:r>
    </w:p>
    <w:p>
      <w:pPr>
        <w:ind w:left="180"/>
        <w:spacing w:after="0" w:line="229" w:lineRule="auto"/>
        <w:rPr>
          <w:sz w:val="20"/>
          <w:szCs w:val="20"/>
          <w:color w:val="auto"/>
        </w:rPr>
      </w:pPr>
      <w:r>
        <w:rPr>
          <w:rFonts w:ascii="Arial" w:cs="Arial" w:eastAsia="Arial" w:hAnsi="Arial"/>
          <w:sz w:val="13"/>
          <w:szCs w:val="13"/>
          <w:i w:val="1"/>
          <w:iCs w:val="1"/>
          <w:color w:val="auto"/>
        </w:rPr>
        <w:t>2022, capital allocation-based income also includes impairment charges totaling $45.0 million.</w:t>
      </w:r>
    </w:p>
    <w:p>
      <w:pPr>
        <w:ind w:left="140" w:hanging="132"/>
        <w:spacing w:after="0" w:line="212"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is not meaningful (n/m).</w:t>
      </w:r>
    </w:p>
    <w:p>
      <w:pPr>
        <w:ind w:left="180" w:right="80" w:hanging="172"/>
        <w:spacing w:after="0" w:line="221" w:lineRule="auto"/>
        <w:tabs>
          <w:tab w:leader="none" w:pos="153"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U.S. GAAP basis for the impact of consolidated T. Rowe Price investment products, the impact of market movements on the supplemental savings plan liability and related economic hedges, investment income related to certain other investments, acquisition-related amortization and costs, non-cash impairment charges, and certain nonrecurring charges and gains, if any. See the reconciliation to the comparable U.S. GAAP measures at the end of this earnings release.</w:t>
      </w:r>
    </w:p>
    <w:p>
      <w:pPr>
        <w:ind w:left="140" w:hanging="132"/>
        <w:spacing w:after="0" w:line="200"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Average assets under management for the 2021 period does not include the acquired fee-basis assets under management related to the OHA acquisition.</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Management Commentary</w:t>
      </w:r>
    </w:p>
    <w:p>
      <w:pPr>
        <w:spacing w:after="0" w:line="347" w:lineRule="exact"/>
        <w:rPr>
          <w:sz w:val="20"/>
          <w:szCs w:val="20"/>
          <w:color w:val="auto"/>
        </w:rPr>
      </w:pPr>
    </w:p>
    <w:p>
      <w:pPr>
        <w:ind w:right="20"/>
        <w:spacing w:after="0" w:line="373" w:lineRule="auto"/>
        <w:rPr>
          <w:sz w:val="20"/>
          <w:szCs w:val="20"/>
          <w:color w:val="auto"/>
        </w:rPr>
      </w:pPr>
      <w:r>
        <w:rPr>
          <w:rFonts w:ascii="Arial" w:cs="Arial" w:eastAsia="Arial" w:hAnsi="Arial"/>
          <w:sz w:val="18"/>
          <w:szCs w:val="18"/>
          <w:color w:val="auto"/>
        </w:rPr>
        <w:t>Rob Sharps, chief executive officer and president, commented, “All developed equity markets and most emerging ones recorded gains in the quarter, although stocks still closed out their worst year since 2008. Investors appeared encouraged by signs of peaking inflation, the improving energy supply situation in Europe, and China’s relaxation of strict coronavirus restrictions. Global bond markets were also strong in the quarter as longer-term sovereign yields declined and credit-sensitive issues were supported by generally solid fundamentals. Despite the late rally, the Bloomberg U.S. Aggregate Bond Index suffered its worst year since its inception in 1976.</w:t>
      </w:r>
    </w:p>
    <w:p>
      <w:pPr>
        <w:spacing w:after="0" w:line="201" w:lineRule="exact"/>
        <w:rPr>
          <w:sz w:val="20"/>
          <w:szCs w:val="20"/>
          <w:color w:val="auto"/>
        </w:rPr>
      </w:pPr>
    </w:p>
    <w:p>
      <w:pPr>
        <w:jc w:val="both"/>
        <w:ind w:right="180"/>
        <w:spacing w:after="0" w:line="373" w:lineRule="auto"/>
        <w:rPr>
          <w:sz w:val="20"/>
          <w:szCs w:val="20"/>
          <w:color w:val="auto"/>
        </w:rPr>
      </w:pPr>
      <w:r>
        <w:rPr>
          <w:rFonts w:ascii="Arial" w:cs="Arial" w:eastAsia="Arial" w:hAnsi="Arial"/>
          <w:sz w:val="18"/>
          <w:szCs w:val="18"/>
          <w:color w:val="auto"/>
        </w:rPr>
        <w:t>“Despite the improvement in most equity and fixed income indices in the quarter, recession worries and warnings of further rate hikes from central bankers continued into year-end, particularly in the U.S. Although the data were inconclusive, a consensus seemed to grow that at least a modest economic downturn was likely in the U.S., with perhaps deeper slumps ahead in Europe. Whether the Federal Reserve and other central banks would be able to achieve “soft landings” and tame inflation without losing too much economic momentum seemed to be the central focus of investors as 2022 came to an end.</w:t>
      </w:r>
    </w:p>
    <w:p>
      <w:pPr>
        <w:spacing w:after="0" w:line="201"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“Our assets under management declined 24.5% from the start of the year and our $5,969 million in 2022 investment advisory fees were 16% lower than 2021. To address this decline and to protect our capacity to invest in strategic initiatives, we focused on controlling expenses by cutting third party spend, initially slowing the pace of hiring, and ultimately reducing our headcount by about 2%. GAAP expenses for the year were $4,115 million, while non-GAAP expenses were $4,088 million, up 6.4% over 2021 due to the addition of OHA. We remain committed to managing expenses in light of the current market environment while thoughtfully investing in our strategic growth initiatives.</w:t>
      </w:r>
    </w:p>
    <w:p>
      <w:pPr>
        <w:spacing w:after="0" w:line="201" w:lineRule="exact"/>
        <w:rPr>
          <w:sz w:val="20"/>
          <w:szCs w:val="20"/>
          <w:color w:val="auto"/>
        </w:rPr>
      </w:pPr>
    </w:p>
    <w:p>
      <w:pPr>
        <w:ind w:right="240"/>
        <w:spacing w:after="0" w:line="424" w:lineRule="auto"/>
        <w:rPr>
          <w:sz w:val="20"/>
          <w:szCs w:val="20"/>
          <w:color w:val="auto"/>
        </w:rPr>
      </w:pPr>
      <w:r>
        <w:rPr>
          <w:rFonts w:ascii="Arial" w:cs="Arial" w:eastAsia="Arial" w:hAnsi="Arial"/>
          <w:sz w:val="18"/>
          <w:szCs w:val="18"/>
          <w:color w:val="auto"/>
        </w:rPr>
        <w:t>“Our balance sheet remains strong and during the year we paid an annual dividend of $4.80 per share and bought back 6.8 million shares, reducing the weighted average shares outstanding as of December 31, 2022 to 224.3 million, the lowest year-end level since our IPO.</w:t>
      </w:r>
    </w:p>
    <w:p>
      <w:pPr>
        <w:spacing w:after="0" w:line="200" w:lineRule="exact"/>
        <w:rPr>
          <w:sz w:val="20"/>
          <w:szCs w:val="20"/>
          <w:color w:val="auto"/>
        </w:rPr>
      </w:pPr>
    </w:p>
    <w:p>
      <w:pPr>
        <w:spacing w:after="0" w:line="257" w:lineRule="exact"/>
        <w:rPr>
          <w:sz w:val="20"/>
          <w:szCs w:val="20"/>
          <w:color w:val="auto"/>
        </w:rPr>
      </w:pPr>
    </w:p>
    <w:p>
      <w:pPr>
        <w:ind w:right="200"/>
        <w:spacing w:after="0" w:line="372" w:lineRule="auto"/>
        <w:rPr>
          <w:sz w:val="20"/>
          <w:szCs w:val="20"/>
          <w:color w:val="auto"/>
        </w:rPr>
      </w:pPr>
      <w:r>
        <w:rPr>
          <w:rFonts w:ascii="Arial" w:cs="Arial" w:eastAsia="Arial" w:hAnsi="Arial"/>
          <w:sz w:val="18"/>
          <w:szCs w:val="18"/>
          <w:color w:val="auto"/>
        </w:rPr>
        <w:t>“While many of our growth equity strategies continue to experience lagging performance, we are seeing stronger relative performance in many of our core and value-oriented equity products and some of our fixed income products. The long-term performance of our flagship retirement products remains strong. We remain confident that we will be able to deliver strong investment performance for our clients in the future.</w:t>
      </w:r>
    </w:p>
    <w:p>
      <w:pPr>
        <w:spacing w:after="0" w:line="202" w:lineRule="exact"/>
        <w:rPr>
          <w:sz w:val="20"/>
          <w:szCs w:val="20"/>
          <w:color w:val="auto"/>
        </w:rPr>
      </w:pPr>
    </w:p>
    <w:p>
      <w:pPr>
        <w:jc w:val="both"/>
        <w:ind w:right="240"/>
        <w:spacing w:after="0" w:line="377" w:lineRule="auto"/>
        <w:rPr>
          <w:sz w:val="20"/>
          <w:szCs w:val="20"/>
          <w:color w:val="auto"/>
        </w:rPr>
      </w:pPr>
      <w:r>
        <w:rPr>
          <w:rFonts w:ascii="Arial" w:cs="Arial" w:eastAsia="Arial" w:hAnsi="Arial"/>
          <w:sz w:val="18"/>
          <w:szCs w:val="18"/>
          <w:color w:val="auto"/>
        </w:rPr>
        <w:t>“Outflows of $17.1 billion in the fourth quarter continue to be largely driven by our growth equity strategies. Target date flows were slightly negative, while for the year target date saw $11.3 billion of net inflows. Notably, our APAC business delivered positive flows for the quarter and the year. While headwinds are likely to persist in 2023, we expect more constructive markets, improved performance in key strategies, and traction in our growth initiatives will return the firm to positive organic growth over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4" w:name="page5"/>
    <w:bookmarkEnd w:id="4"/>
    <w:p>
      <w:pPr>
        <w:ind w:right="260"/>
        <w:spacing w:after="0" w:line="363" w:lineRule="auto"/>
        <w:rPr>
          <w:sz w:val="20"/>
          <w:szCs w:val="20"/>
          <w:color w:val="auto"/>
        </w:rPr>
      </w:pPr>
      <w:r>
        <w:rPr>
          <w:rFonts w:ascii="Arial" w:cs="Arial" w:eastAsia="Arial" w:hAnsi="Arial"/>
          <w:sz w:val="18"/>
          <w:szCs w:val="18"/>
          <w:color w:val="auto"/>
        </w:rPr>
        <w:t>“We continued to evolve our product range to meet the changing needs of clients around the globe with several new additions in the fourth quarter:</w:t>
      </w:r>
    </w:p>
    <w:p>
      <w:pPr>
        <w:spacing w:after="0" w:line="35" w:lineRule="exact"/>
        <w:rPr>
          <w:sz w:val="20"/>
          <w:szCs w:val="20"/>
          <w:color w:val="auto"/>
        </w:rPr>
      </w:pPr>
    </w:p>
    <w:p>
      <w:pPr>
        <w:ind w:left="660" w:right="480" w:hanging="328"/>
        <w:spacing w:after="0" w:line="341" w:lineRule="auto"/>
        <w:tabs>
          <w:tab w:leader="none" w:pos="655" w:val="left"/>
        </w:tabs>
        <w:numPr>
          <w:ilvl w:val="0"/>
          <w:numId w:val="5"/>
        </w:numPr>
        <w:rPr>
          <w:rFonts w:ascii="Arial" w:cs="Arial" w:eastAsia="Arial" w:hAnsi="Arial"/>
          <w:sz w:val="22"/>
          <w:szCs w:val="22"/>
          <w:color w:val="40AEFF"/>
        </w:rPr>
      </w:pPr>
      <w:r>
        <w:rPr>
          <w:rFonts w:ascii="Arial" w:cs="Arial" w:eastAsia="Arial" w:hAnsi="Arial"/>
          <w:sz w:val="18"/>
          <w:szCs w:val="18"/>
          <w:color w:val="auto"/>
        </w:rPr>
        <w:t>We added a global fintech sector strategy with the launch of the Future of Finance SICAV and OEIC aimed at EMEA and APAC clients seeking thematic investing products.</w:t>
      </w:r>
    </w:p>
    <w:p>
      <w:pPr>
        <w:spacing w:after="0" w:line="34" w:lineRule="exact"/>
        <w:rPr>
          <w:rFonts w:ascii="Arial" w:cs="Arial" w:eastAsia="Arial" w:hAnsi="Arial"/>
          <w:sz w:val="22"/>
          <w:szCs w:val="22"/>
          <w:color w:val="40AEFF"/>
        </w:rPr>
      </w:pPr>
    </w:p>
    <w:p>
      <w:pPr>
        <w:ind w:left="660" w:right="60" w:hanging="328"/>
        <w:spacing w:after="0" w:line="341" w:lineRule="auto"/>
        <w:tabs>
          <w:tab w:leader="none" w:pos="655" w:val="left"/>
        </w:tabs>
        <w:numPr>
          <w:ilvl w:val="0"/>
          <w:numId w:val="5"/>
        </w:numPr>
        <w:rPr>
          <w:rFonts w:ascii="Arial" w:cs="Arial" w:eastAsia="Arial" w:hAnsi="Arial"/>
          <w:sz w:val="22"/>
          <w:szCs w:val="22"/>
          <w:color w:val="40AEFF"/>
        </w:rPr>
      </w:pPr>
      <w:r>
        <w:rPr>
          <w:rFonts w:ascii="Arial" w:cs="Arial" w:eastAsia="Arial" w:hAnsi="Arial"/>
          <w:sz w:val="18"/>
          <w:szCs w:val="18"/>
          <w:color w:val="auto"/>
        </w:rPr>
        <w:t>To meet the needs of clients who wish to invest with social and environmental goals, we expanded our range of Impact products with the launch of U.S. Impact Equity SICAV.</w:t>
      </w:r>
    </w:p>
    <w:p>
      <w:pPr>
        <w:spacing w:after="0" w:line="34" w:lineRule="exact"/>
        <w:rPr>
          <w:rFonts w:ascii="Arial" w:cs="Arial" w:eastAsia="Arial" w:hAnsi="Arial"/>
          <w:sz w:val="22"/>
          <w:szCs w:val="22"/>
          <w:color w:val="40AEFF"/>
        </w:rPr>
      </w:pPr>
    </w:p>
    <w:p>
      <w:pPr>
        <w:ind w:left="660" w:right="240" w:hanging="328"/>
        <w:spacing w:after="0" w:line="341" w:lineRule="auto"/>
        <w:tabs>
          <w:tab w:leader="none" w:pos="655" w:val="left"/>
        </w:tabs>
        <w:numPr>
          <w:ilvl w:val="0"/>
          <w:numId w:val="5"/>
        </w:numPr>
        <w:rPr>
          <w:rFonts w:ascii="Arial" w:cs="Arial" w:eastAsia="Arial" w:hAnsi="Arial"/>
          <w:sz w:val="22"/>
          <w:szCs w:val="22"/>
          <w:color w:val="40AEFF"/>
        </w:rPr>
      </w:pPr>
      <w:r>
        <w:rPr>
          <w:rFonts w:ascii="Arial" w:cs="Arial" w:eastAsia="Arial" w:hAnsi="Arial"/>
          <w:sz w:val="18"/>
          <w:szCs w:val="18"/>
          <w:color w:val="auto"/>
        </w:rPr>
        <w:t>We broadened our range of ETF products with the addition of the U.S. High Yield ETF and Floating Rate ETF. This brings our ETF range to five fixed income and five equity products.</w:t>
      </w:r>
    </w:p>
    <w:p>
      <w:pPr>
        <w:spacing w:after="0" w:line="20" w:lineRule="exact"/>
        <w:rPr>
          <w:rFonts w:ascii="Arial" w:cs="Arial" w:eastAsia="Arial" w:hAnsi="Arial"/>
          <w:sz w:val="22"/>
          <w:szCs w:val="22"/>
          <w:color w:val="40AEFF"/>
        </w:rPr>
      </w:pPr>
    </w:p>
    <w:p>
      <w:pPr>
        <w:ind w:left="660" w:hanging="328"/>
        <w:spacing w:after="0"/>
        <w:tabs>
          <w:tab w:leader="none" w:pos="660" w:val="left"/>
        </w:tabs>
        <w:numPr>
          <w:ilvl w:val="0"/>
          <w:numId w:val="5"/>
        </w:numPr>
        <w:rPr>
          <w:rFonts w:ascii="Arial" w:cs="Arial" w:eastAsia="Arial" w:hAnsi="Arial"/>
          <w:sz w:val="22"/>
          <w:szCs w:val="22"/>
          <w:color w:val="40AEFF"/>
        </w:rPr>
      </w:pPr>
      <w:r>
        <w:rPr>
          <w:rFonts w:ascii="Arial" w:cs="Arial" w:eastAsia="Arial" w:hAnsi="Arial"/>
          <w:sz w:val="18"/>
          <w:szCs w:val="18"/>
          <w:color w:val="auto"/>
        </w:rPr>
        <w:t>We grew our Japanese investment trust range with the launch of U.S. All Cap Opportunities Equity, our 12th ITM.</w:t>
      </w:r>
    </w:p>
    <w:p>
      <w:pPr>
        <w:spacing w:after="0" w:line="342" w:lineRule="exact"/>
        <w:rPr>
          <w:sz w:val="20"/>
          <w:szCs w:val="20"/>
          <w:color w:val="auto"/>
        </w:rPr>
      </w:pPr>
    </w:p>
    <w:p>
      <w:pPr>
        <w:ind w:right="380"/>
        <w:spacing w:after="0" w:line="386" w:lineRule="auto"/>
        <w:rPr>
          <w:sz w:val="20"/>
          <w:szCs w:val="20"/>
          <w:color w:val="auto"/>
        </w:rPr>
      </w:pPr>
      <w:r>
        <w:rPr>
          <w:rFonts w:ascii="Arial" w:cs="Arial" w:eastAsia="Arial" w:hAnsi="Arial"/>
          <w:sz w:val="18"/>
          <w:szCs w:val="18"/>
          <w:color w:val="auto"/>
        </w:rPr>
        <w:t>“As we cross the one-year anniversary of the OHA acquisition, we are pleased with the progress the distribution and product teams have made toward developing new products and client relationships, which will ultimately support growth in our private markets alternatives business.</w:t>
      </w:r>
    </w:p>
    <w:p>
      <w:pPr>
        <w:spacing w:after="0" w:line="189" w:lineRule="exact"/>
        <w:rPr>
          <w:sz w:val="20"/>
          <w:szCs w:val="20"/>
          <w:color w:val="auto"/>
        </w:rPr>
      </w:pPr>
    </w:p>
    <w:p>
      <w:pPr>
        <w:ind w:right="360"/>
        <w:spacing w:after="0" w:line="378" w:lineRule="auto"/>
        <w:rPr>
          <w:sz w:val="20"/>
          <w:szCs w:val="20"/>
          <w:color w:val="auto"/>
        </w:rPr>
      </w:pPr>
      <w:r>
        <w:rPr>
          <w:rFonts w:ascii="Arial" w:cs="Arial" w:eastAsia="Arial" w:hAnsi="Arial"/>
          <w:sz w:val="18"/>
          <w:szCs w:val="18"/>
          <w:color w:val="auto"/>
        </w:rPr>
        <w:t>“In our 85 years, T. Rowe Price has successfully navigated uncertainty and market volatility. We have the necessary ingredients - our dedicated and talented associates, our valued and loyal clients, our strong culture, and our financial strength - to emerge from this period stronger and deliver outstanding value for our clients, our associates, and our shareholders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17" w:lineRule="exact"/>
        <w:rPr>
          <w:sz w:val="20"/>
          <w:szCs w:val="20"/>
          <w:color w:val="auto"/>
        </w:rPr>
      </w:pPr>
    </w:p>
    <w:p>
      <w:pPr>
        <w:ind w:right="60"/>
        <w:spacing w:after="0" w:line="398" w:lineRule="auto"/>
        <w:rPr>
          <w:sz w:val="20"/>
          <w:szCs w:val="20"/>
          <w:color w:val="auto"/>
        </w:rPr>
      </w:pPr>
      <w:r>
        <w:rPr>
          <w:rFonts w:ascii="Arial" w:cs="Arial" w:eastAsia="Arial" w:hAnsi="Arial"/>
          <w:sz w:val="17"/>
          <w:szCs w:val="17"/>
          <w:color w:val="auto"/>
        </w:rPr>
        <w:t>During Q4 2022, assets under management (AUM) increased $44.7 billion to $1.27 trillion. The increase in AUM was driven by market appreciation, net of distributions not reinvested, of $61.8 billion, partially offset by net cash outflows of $17.1 billion. Clients transferred $2.1 billion in net assets from the U.S. mutual funds primarily to collective investment trusts and other investment products, of which $1.6 billion transferred into the retirement date trusts. The components of the change in AUM, by vehicle and asset class, are shown in the tables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4"/>
                <w:szCs w:val="14"/>
                <w:color w:val="auto"/>
              </w:rPr>
              <w:t>Three months ended 12/31/2022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Subadvised funds</w:t>
            </w:r>
          </w:p>
        </w:tc>
        <w:tc>
          <w:tcPr>
            <w:tcW w:w="154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U.S. mutual funds</w:t>
            </w: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and separate</w:t>
            </w:r>
          </w:p>
        </w:tc>
        <w:tc>
          <w:tcPr>
            <w:tcW w:w="180" w:type="dxa"/>
            <w:vAlign w:val="bottom"/>
          </w:tcPr>
          <w:p>
            <w:pPr>
              <w:spacing w:after="0"/>
              <w:rPr>
                <w:sz w:val="12"/>
                <w:szCs w:val="12"/>
                <w:color w:val="auto"/>
              </w:rPr>
            </w:pPr>
          </w:p>
        </w:tc>
        <w:tc>
          <w:tcPr>
            <w:tcW w:w="13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75"/>
        </w:trPr>
        <w:tc>
          <w:tcPr>
            <w:tcW w:w="5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Net market appreciation and gains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320.5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6" w:right="339" w:bottom="1440" w:gutter="0" w:footer="0" w:header="0"/>
        </w:sectPr>
      </w:pPr>
    </w:p>
    <w:bookmarkStart w:id="5" w:name="page6"/>
    <w:bookmarkEnd w:id="5"/>
    <w:tbl>
      <w:tblPr>
        <w:tblLayout w:type="fixed"/>
        <w:tblInd w:w="300" w:type="dxa"/>
        <w:tblCellMar>
          <w:top w:w="0" w:type="dxa"/>
          <w:left w:w="0" w:type="dxa"/>
          <w:bottom w:w="0" w:type="dxa"/>
          <w:right w:w="0" w:type="dxa"/>
        </w:tblCellMar>
      </w:tblPr>
      <w:tr>
        <w:trPr>
          <w:trHeight w:val="203"/>
        </w:trPr>
        <w:tc>
          <w:tcPr>
            <w:tcW w:w="4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80" w:type="dxa"/>
            <w:vAlign w:val="bottom"/>
            <w:tcBorders>
              <w:bottom w:val="single" w:sz="8" w:color="auto"/>
            </w:tcBorders>
            <w:gridSpan w:val="8"/>
            <w:shd w:val="clear" w:color="auto" w:fill="CCEEFF"/>
          </w:tcPr>
          <w:p>
            <w:pPr>
              <w:ind w:left="840"/>
              <w:spacing w:after="0"/>
              <w:rPr>
                <w:sz w:val="20"/>
                <w:szCs w:val="20"/>
                <w:color w:val="auto"/>
              </w:rPr>
            </w:pPr>
            <w:r>
              <w:rPr>
                <w:rFonts w:ascii="Arial" w:cs="Arial" w:eastAsia="Arial" w:hAnsi="Arial"/>
                <w:sz w:val="14"/>
                <w:szCs w:val="14"/>
                <w:color w:val="auto"/>
              </w:rPr>
              <w:t>Three months ended 12/31/2022</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Arial" w:cs="Arial" w:eastAsia="Arial" w:hAnsi="Arial"/>
                <w:sz w:val="14"/>
                <w:szCs w:val="14"/>
                <w:color w:val="auto"/>
              </w:rPr>
              <w:t>Fixed income,</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80" w:type="dxa"/>
            <w:vAlign w:val="bottom"/>
            <w:vMerge w:val="restart"/>
          </w:tcPr>
          <w:p>
            <w:pPr>
              <w:spacing w:after="0"/>
              <w:rPr>
                <w:sz w:val="20"/>
                <w:szCs w:val="20"/>
                <w:color w:val="auto"/>
              </w:rPr>
            </w:pPr>
            <w:r>
              <w:rPr>
                <w:rFonts w:ascii="Arial" w:cs="Arial" w:eastAsia="Arial" w:hAnsi="Arial"/>
                <w:sz w:val="14"/>
                <w:szCs w:val="14"/>
                <w:color w:val="auto"/>
              </w:rPr>
              <w:t>(in billions)</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39" w:lineRule="exact"/>
              <w:rPr>
                <w:sz w:val="20"/>
                <w:szCs w:val="20"/>
                <w:color w:val="auto"/>
              </w:rPr>
            </w:pPr>
            <w:r>
              <w:rPr>
                <w:rFonts w:ascii="Arial" w:cs="Arial" w:eastAsia="Arial" w:hAnsi="Arial"/>
                <w:sz w:val="14"/>
                <w:szCs w:val="14"/>
                <w:color w:val="auto"/>
              </w:rPr>
              <w:t>including money</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Multi-asset</w:t>
            </w:r>
            <w:r>
              <w:rPr>
                <w:rFonts w:ascii="Arial" w:cs="Arial" w:eastAsia="Arial" w:hAnsi="Arial"/>
                <w:sz w:val="18"/>
                <w:szCs w:val="18"/>
                <w:color w:val="auto"/>
                <w:vertAlign w:val="superscript"/>
              </w:rPr>
              <w:t>(1)</w:t>
            </w:r>
          </w:p>
        </w:tc>
        <w:tc>
          <w:tcPr>
            <w:tcW w:w="12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color w:val="auto"/>
              </w:rPr>
              <w:t>Alternatives</w:t>
            </w:r>
            <w:r>
              <w:rPr>
                <w:rFonts w:ascii="Arial" w:cs="Arial" w:eastAsia="Arial" w:hAnsi="Arial"/>
                <w:sz w:val="18"/>
                <w:szCs w:val="18"/>
                <w:color w:val="auto"/>
                <w:vertAlign w:val="superscript"/>
              </w:rPr>
              <w:t>(2)</w:t>
            </w:r>
          </w:p>
        </w:tc>
        <w:tc>
          <w:tcPr>
            <w:tcW w:w="280" w:type="dxa"/>
            <w:vAlign w:val="bottom"/>
          </w:tcPr>
          <w:p>
            <w:pPr>
              <w:spacing w:after="0"/>
              <w:rPr>
                <w:sz w:val="12"/>
                <w:szCs w:val="12"/>
                <w:color w:val="auto"/>
              </w:rPr>
            </w:pPr>
          </w:p>
        </w:tc>
        <w:tc>
          <w:tcPr>
            <w:tcW w:w="960" w:type="dxa"/>
            <w:vAlign w:val="bottom"/>
            <w:vMerge w:val="restart"/>
          </w:tcPr>
          <w:p>
            <w:pPr>
              <w:jc w:val="right"/>
              <w:ind w:right="4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rPr>
              <w:t>market</w:t>
            </w: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 under management at beginning of period</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75"/>
        </w:trPr>
        <w:tc>
          <w:tcPr>
            <w:tcW w:w="4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Net market appreciation and gains</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6"/>
                <w:szCs w:val="16"/>
                <w:color w:val="auto"/>
              </w:rPr>
              <w:t>Assets under management at</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664.2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ind w:right="3"/>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400.1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1,274.7</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December 31, 2022</w:t>
            </w:r>
          </w:p>
        </w:tc>
        <w:tc>
          <w:tcPr>
            <w:tcW w:w="2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spacing w:after="0" w:line="8" w:lineRule="exact"/>
        <w:rPr>
          <w:rFonts w:ascii="Arial" w:cs="Arial" w:eastAsia="Arial" w:hAnsi="Arial"/>
          <w:sz w:val="16"/>
          <w:szCs w:val="16"/>
          <w:i w:val="1"/>
          <w:iCs w:val="1"/>
          <w:color w:val="auto"/>
          <w:vertAlign w:val="superscript"/>
        </w:rPr>
      </w:pPr>
    </w:p>
    <w:p>
      <w:pPr>
        <w:ind w:left="180" w:right="40" w:hanging="172"/>
        <w:spacing w:after="0" w:line="221"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w:t>
      </w:r>
    </w:p>
    <w:p>
      <w:pPr>
        <w:ind w:left="140" w:hanging="132"/>
        <w:spacing w:after="0" w:line="200"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For Q4 2022, net outflows of $17.1 billion were largely concentrated in equity strategies sourced from the firm's U.S. intermediary channel.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firm's APAC institutional and intermediary channels delivered positive net cash inflows during the quarter.</w:t>
      </w:r>
    </w:p>
    <w:p>
      <w:pPr>
        <w:spacing w:after="0" w:line="158" w:lineRule="exact"/>
        <w:rPr>
          <w:sz w:val="20"/>
          <w:szCs w:val="20"/>
          <w:color w:val="auto"/>
        </w:rPr>
      </w:pPr>
    </w:p>
    <w:p>
      <w:pPr>
        <w:ind w:left="660" w:hanging="328"/>
        <w:spacing w:after="0" w:line="347" w:lineRule="auto"/>
        <w:tabs>
          <w:tab w:leader="none" w:pos="655" w:val="left"/>
        </w:tabs>
        <w:numPr>
          <w:ilvl w:val="0"/>
          <w:numId w:val="7"/>
        </w:numPr>
        <w:rPr>
          <w:rFonts w:ascii="Arial" w:cs="Arial" w:eastAsia="Arial" w:hAnsi="Arial"/>
          <w:sz w:val="22"/>
          <w:szCs w:val="22"/>
          <w:color w:val="40AEFF"/>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net outflows in Q4 2022 of $14.3 billion were largely driven by the firm's growth-oriented strategies, primarily U.S. Large-Cap</w:t>
      </w:r>
      <w:r>
        <w:rPr>
          <w:rFonts w:ascii="Arial" w:cs="Arial" w:eastAsia="Arial" w:hAnsi="Arial"/>
          <w:sz w:val="18"/>
          <w:szCs w:val="18"/>
          <w:b w:val="1"/>
          <w:bCs w:val="1"/>
          <w:color w:val="auto"/>
        </w:rPr>
        <w:t xml:space="preserve"> </w:t>
      </w:r>
      <w:r>
        <w:rPr>
          <w:rFonts w:ascii="Arial" w:cs="Arial" w:eastAsia="Arial" w:hAnsi="Arial"/>
          <w:sz w:val="18"/>
          <w:szCs w:val="18"/>
          <w:color w:val="auto"/>
        </w:rPr>
        <w:t>Growth. These outflows were offset in part by positive net inflows from Structured Research, All-Cap, and Dividend Growth strategies.</w:t>
      </w:r>
    </w:p>
    <w:p>
      <w:pPr>
        <w:spacing w:after="0" w:line="34" w:lineRule="exact"/>
        <w:rPr>
          <w:rFonts w:ascii="Arial" w:cs="Arial" w:eastAsia="Arial" w:hAnsi="Arial"/>
          <w:sz w:val="22"/>
          <w:szCs w:val="22"/>
          <w:color w:val="40AEFF"/>
        </w:rPr>
      </w:pPr>
    </w:p>
    <w:p>
      <w:pPr>
        <w:ind w:left="660" w:right="40" w:hanging="328"/>
        <w:spacing w:after="0" w:line="342" w:lineRule="auto"/>
        <w:tabs>
          <w:tab w:leader="none" w:pos="655" w:val="left"/>
        </w:tabs>
        <w:numPr>
          <w:ilvl w:val="0"/>
          <w:numId w:val="7"/>
        </w:numPr>
        <w:rPr>
          <w:rFonts w:ascii="Arial" w:cs="Arial" w:eastAsia="Arial" w:hAnsi="Arial"/>
          <w:sz w:val="22"/>
          <w:szCs w:val="22"/>
          <w:color w:val="40AEFF"/>
        </w:rPr>
      </w:pPr>
      <w:r>
        <w:rPr>
          <w:rFonts w:ascii="Arial" w:cs="Arial" w:eastAsia="Arial" w:hAnsi="Arial"/>
          <w:sz w:val="18"/>
          <w:szCs w:val="18"/>
          <w:b w:val="1"/>
          <w:bCs w:val="1"/>
          <w:color w:val="auto"/>
        </w:rPr>
        <w:t>Fixed income, including money market</w:t>
      </w:r>
      <w:r>
        <w:rPr>
          <w:rFonts w:ascii="Arial" w:cs="Arial" w:eastAsia="Arial" w:hAnsi="Arial"/>
          <w:sz w:val="18"/>
          <w:szCs w:val="18"/>
          <w:color w:val="auto"/>
        </w:rPr>
        <w:t>, net outflows in Q4 2022 of $2.0 billion were primarily driven by Floating Rate, High Yield,</w:t>
      </w:r>
      <w:r>
        <w:rPr>
          <w:rFonts w:ascii="Arial" w:cs="Arial" w:eastAsia="Arial" w:hAnsi="Arial"/>
          <w:sz w:val="18"/>
          <w:szCs w:val="18"/>
          <w:b w:val="1"/>
          <w:bCs w:val="1"/>
          <w:color w:val="auto"/>
        </w:rPr>
        <w:t xml:space="preserve"> </w:t>
      </w:r>
      <w:r>
        <w:rPr>
          <w:rFonts w:ascii="Arial" w:cs="Arial" w:eastAsia="Arial" w:hAnsi="Arial"/>
          <w:sz w:val="18"/>
          <w:szCs w:val="18"/>
          <w:color w:val="auto"/>
        </w:rPr>
        <w:t>and municipal strategies. These outflows were partially offset by inflows into the Global Multi-sector and international fixed income strategies. A portion of these net outflows relate to the firm's corporate cash and the funding of year-end compensation.</w:t>
      </w:r>
    </w:p>
    <w:p>
      <w:pPr>
        <w:spacing w:after="0" w:line="8" w:lineRule="exact"/>
        <w:rPr>
          <w:rFonts w:ascii="Arial" w:cs="Arial" w:eastAsia="Arial" w:hAnsi="Arial"/>
          <w:sz w:val="22"/>
          <w:szCs w:val="22"/>
          <w:color w:val="40AEFF"/>
        </w:rPr>
      </w:pPr>
    </w:p>
    <w:p>
      <w:pPr>
        <w:ind w:left="660" w:right="120" w:hanging="328"/>
        <w:spacing w:after="0" w:line="356" w:lineRule="auto"/>
        <w:tabs>
          <w:tab w:leader="none" w:pos="653" w:val="left"/>
        </w:tabs>
        <w:numPr>
          <w:ilvl w:val="0"/>
          <w:numId w:val="7"/>
        </w:numPr>
        <w:rPr>
          <w:rFonts w:ascii="Calibri" w:cs="Calibri" w:eastAsia="Calibri" w:hAnsi="Calibri"/>
          <w:sz w:val="20"/>
          <w:szCs w:val="20"/>
          <w:color w:val="40AEFF"/>
        </w:rPr>
      </w:pPr>
      <w:r>
        <w:rPr>
          <w:rFonts w:ascii="Arial" w:cs="Arial" w:eastAsia="Arial" w:hAnsi="Arial"/>
          <w:sz w:val="18"/>
          <w:szCs w:val="18"/>
          <w:b w:val="1"/>
          <w:bCs w:val="1"/>
          <w:color w:val="auto"/>
        </w:rPr>
        <w:t xml:space="preserve">Multi-asset </w:t>
      </w:r>
      <w:r>
        <w:rPr>
          <w:rFonts w:ascii="Arial" w:cs="Arial" w:eastAsia="Arial" w:hAnsi="Arial"/>
          <w:sz w:val="18"/>
          <w:szCs w:val="18"/>
          <w:color w:val="auto"/>
        </w:rPr>
        <w:t>net outflows were $.5 billion in Q4 2022. The firm's target date retirement products had slightly negative flows in Q4</w:t>
      </w:r>
      <w:r>
        <w:rPr>
          <w:rFonts w:ascii="Arial" w:cs="Arial" w:eastAsia="Arial" w:hAnsi="Arial"/>
          <w:sz w:val="18"/>
          <w:szCs w:val="18"/>
          <w:b w:val="1"/>
          <w:bCs w:val="1"/>
          <w:color w:val="auto"/>
        </w:rPr>
        <w:t xml:space="preserve"> </w:t>
      </w:r>
      <w:r>
        <w:rPr>
          <w:rFonts w:ascii="Arial" w:cs="Arial" w:eastAsia="Arial" w:hAnsi="Arial"/>
          <w:sz w:val="18"/>
          <w:szCs w:val="18"/>
          <w:color w:val="auto"/>
        </w:rPr>
        <w:t>2022 in part due to end of year plan movements which we often see the benefits of in the new year. Total AUM in these target date products was $334.2 billion at December 31, 2022.</w:t>
      </w:r>
    </w:p>
    <w:p>
      <w:pPr>
        <w:spacing w:after="0" w:line="30" w:lineRule="exact"/>
        <w:rPr>
          <w:rFonts w:ascii="Calibri" w:cs="Calibri" w:eastAsia="Calibri" w:hAnsi="Calibri"/>
          <w:sz w:val="20"/>
          <w:szCs w:val="20"/>
          <w:color w:val="40AEFF"/>
        </w:rPr>
      </w:pPr>
    </w:p>
    <w:p>
      <w:pPr>
        <w:ind w:left="660" w:hanging="328"/>
        <w:spacing w:after="0"/>
        <w:tabs>
          <w:tab w:leader="none" w:pos="660" w:val="left"/>
        </w:tabs>
        <w:numPr>
          <w:ilvl w:val="0"/>
          <w:numId w:val="7"/>
        </w:numPr>
        <w:rPr>
          <w:rFonts w:ascii="Arial" w:cs="Arial" w:eastAsia="Arial" w:hAnsi="Arial"/>
          <w:sz w:val="22"/>
          <w:szCs w:val="22"/>
          <w:color w:val="40AEFF"/>
        </w:rPr>
      </w:pPr>
      <w:r>
        <w:rPr>
          <w:rFonts w:ascii="Arial" w:cs="Arial" w:eastAsia="Arial" w:hAnsi="Arial"/>
          <w:sz w:val="18"/>
          <w:szCs w:val="18"/>
          <w:b w:val="1"/>
          <w:bCs w:val="1"/>
          <w:color w:val="auto"/>
        </w:rPr>
        <w:t xml:space="preserve">Alternatives </w:t>
      </w:r>
      <w:r>
        <w:rPr>
          <w:rFonts w:ascii="Arial" w:cs="Arial" w:eastAsia="Arial" w:hAnsi="Arial"/>
          <w:sz w:val="18"/>
          <w:szCs w:val="18"/>
          <w:color w:val="auto"/>
        </w:rPr>
        <w:t>net outflows in Q4 2022 of $.3 billion were primarily manager-driven distributions from certain closed-end funds.</w:t>
      </w:r>
    </w:p>
    <w:p>
      <w:pPr>
        <w:spacing w:after="0" w:line="334" w:lineRule="exact"/>
        <w:rPr>
          <w:sz w:val="20"/>
          <w:szCs w:val="20"/>
          <w:color w:val="auto"/>
        </w:rPr>
      </w:pPr>
    </w:p>
    <w:p>
      <w:pPr>
        <w:ind w:right="240"/>
        <w:spacing w:after="0" w:line="396" w:lineRule="auto"/>
        <w:rPr>
          <w:sz w:val="20"/>
          <w:szCs w:val="20"/>
          <w:color w:val="auto"/>
        </w:rPr>
      </w:pPr>
      <w:r>
        <w:rPr>
          <w:rFonts w:ascii="Arial" w:cs="Arial" w:eastAsia="Arial" w:hAnsi="Arial"/>
          <w:sz w:val="18"/>
          <w:szCs w:val="18"/>
          <w:color w:val="auto"/>
        </w:rPr>
        <w:t>Investors domiciled outside the United States accounted for 9.1% of the firm's AUM at December 31, 2022, 9.0% at September 30, 2022, and 9.9% at December 31, 2021.</w:t>
      </w:r>
    </w:p>
    <w:p>
      <w:pPr>
        <w:spacing w:after="0" w:line="181" w:lineRule="exact"/>
        <w:rPr>
          <w:sz w:val="20"/>
          <w:szCs w:val="20"/>
          <w:color w:val="auto"/>
        </w:rPr>
      </w:pPr>
    </w:p>
    <w:p>
      <w:pPr>
        <w:ind w:right="80"/>
        <w:spacing w:after="0" w:line="386" w:lineRule="auto"/>
        <w:rPr>
          <w:sz w:val="20"/>
          <w:szCs w:val="20"/>
          <w:color w:val="auto"/>
        </w:rPr>
      </w:pPr>
      <w:r>
        <w:rPr>
          <w:rFonts w:ascii="Arial" w:cs="Arial" w:eastAsia="Arial" w:hAnsi="Arial"/>
          <w:sz w:val="18"/>
          <w:szCs w:val="18"/>
          <w:color w:val="auto"/>
        </w:rPr>
        <w:t>The firm provides participants accounting and plan administration for defined contribution retirement plans that invest in the firm's U.S. mutual funds and collective investment trusts, as well as funds managed outside of the firm's complex. As of December 31, 2022, the firm's assets under administration were $214 billion, of which $133 billion were assets we manage.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implement. The firm records the revenue earned on these services in administrative fees. The assets under advisement in these portfolios,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predominantly in the United States, were $8 billion 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1152"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Q4 2022 were $1.5 billion, a decrease of 22.3% from Q4 2021.</w:t>
      </w:r>
    </w:p>
    <w:p>
      <w:pPr>
        <w:spacing w:after="0" w:line="144" w:lineRule="exact"/>
        <w:rPr>
          <w:sz w:val="20"/>
          <w:szCs w:val="20"/>
          <w:color w:val="auto"/>
        </w:rPr>
      </w:pPr>
    </w:p>
    <w:p>
      <w:pPr>
        <w:ind w:left="660" w:right="40" w:hanging="328"/>
        <w:spacing w:after="0" w:line="360" w:lineRule="auto"/>
        <w:tabs>
          <w:tab w:leader="none" w:pos="655" w:val="left"/>
        </w:tabs>
        <w:numPr>
          <w:ilvl w:val="0"/>
          <w:numId w:val="8"/>
        </w:numPr>
        <w:rPr>
          <w:rFonts w:ascii="Arial" w:cs="Arial" w:eastAsia="Arial" w:hAnsi="Arial"/>
          <w:sz w:val="22"/>
          <w:szCs w:val="22"/>
          <w:color w:val="40AEFF"/>
        </w:rPr>
      </w:pPr>
      <w:r>
        <w:rPr>
          <w:rFonts w:ascii="Arial" w:cs="Arial" w:eastAsia="Arial" w:hAnsi="Arial"/>
          <w:sz w:val="18"/>
          <w:szCs w:val="18"/>
          <w:b w:val="1"/>
          <w:bCs w:val="1"/>
          <w:color w:val="auto"/>
        </w:rPr>
        <w:t xml:space="preserve">Investment advisory fees </w:t>
      </w:r>
      <w:r>
        <w:rPr>
          <w:rFonts w:ascii="Arial" w:cs="Arial" w:eastAsia="Arial" w:hAnsi="Arial"/>
          <w:sz w:val="18"/>
          <w:szCs w:val="18"/>
          <w:color w:val="auto"/>
        </w:rPr>
        <w:t>earned in Q4 2022 were $1.4 billion, a decrease of 24.4% and 5.1% from Q4 2021 and Q3 2022,</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Average AUM in Q4 2022 was $1.28 trillion, a decrease of 22.3% and 4.7% from Q4 2021 and Q3 2022, respectively. The firm did not waive money market investment advisory fees in Q4 2022 and Q3 2022. In Q4 2021, the firm voluntarily waived money market investment advisory fees of $14.9 million. Investment advisory revenues and average AUM in the 2022 periods reflect OHA's revenue and related average AUM.</w:t>
      </w:r>
    </w:p>
    <w:p>
      <w:pPr>
        <w:spacing w:after="0" w:line="255" w:lineRule="exact"/>
        <w:rPr>
          <w:sz w:val="20"/>
          <w:szCs w:val="20"/>
          <w:color w:val="auto"/>
        </w:rPr>
      </w:pPr>
    </w:p>
    <w:p>
      <w:pPr>
        <w:ind w:left="660" w:hanging="328"/>
        <w:spacing w:after="0" w:line="360" w:lineRule="auto"/>
        <w:tabs>
          <w:tab w:leader="none" w:pos="656" w:val="left"/>
        </w:tabs>
        <w:numPr>
          <w:ilvl w:val="0"/>
          <w:numId w:val="9"/>
        </w:numPr>
        <w:rPr>
          <w:rFonts w:ascii="Arial" w:cs="Arial" w:eastAsia="Arial" w:hAnsi="Arial"/>
          <w:sz w:val="22"/>
          <w:szCs w:val="22"/>
          <w:color w:val="40AEFF"/>
        </w:rPr>
      </w:pPr>
      <w:r>
        <w:rPr>
          <w:rFonts w:ascii="Arial" w:cs="Arial" w:eastAsia="Arial" w:hAnsi="Arial"/>
          <w:sz w:val="18"/>
          <w:szCs w:val="18"/>
          <w:color w:val="auto"/>
        </w:rPr>
        <w:t>The investment advisory fee annualized effective fee rate of 42.3 basis points in Q4 2022 decreased from 42.5 basis points earned in Q3 2022 and 43.4 basis points earned in Q4 2021. In comparison with Q4 2021, the annualized effective fee rate was primarily driven by a mix shift toward lower fee asset classes and vehicles as a result of market declines and net flows, slightly offset by the higher-than-average effective fee rate earned on the firm's alternative asset class and lower money market fee waivers. Over time, the firm's effective fee rate can be impacted by market- or cash flow-related shifts among asset and share classes, price changes in existing products, and asset level changes in products with tiered-fee structures.</w:t>
      </w:r>
    </w:p>
    <w:p>
      <w:pPr>
        <w:spacing w:after="0" w:line="255" w:lineRule="exact"/>
        <w:rPr>
          <w:rFonts w:ascii="Arial" w:cs="Arial" w:eastAsia="Arial" w:hAnsi="Arial"/>
          <w:sz w:val="22"/>
          <w:szCs w:val="22"/>
          <w:color w:val="40AEFF"/>
        </w:rPr>
      </w:pPr>
    </w:p>
    <w:p>
      <w:pPr>
        <w:ind w:left="660" w:hanging="328"/>
        <w:spacing w:after="0" w:line="358" w:lineRule="auto"/>
        <w:tabs>
          <w:tab w:leader="none" w:pos="656" w:val="left"/>
        </w:tabs>
        <w:numPr>
          <w:ilvl w:val="0"/>
          <w:numId w:val="9"/>
        </w:numPr>
        <w:rPr>
          <w:rFonts w:ascii="Arial" w:cs="Arial" w:eastAsia="Arial" w:hAnsi="Arial"/>
          <w:sz w:val="22"/>
          <w:szCs w:val="22"/>
          <w:color w:val="40AEFF"/>
        </w:rPr>
      </w:pPr>
      <w:r>
        <w:rPr>
          <w:rFonts w:ascii="Arial" w:cs="Arial" w:eastAsia="Arial" w:hAnsi="Arial"/>
          <w:sz w:val="18"/>
          <w:szCs w:val="18"/>
          <w:b w:val="1"/>
          <w:bCs w:val="1"/>
          <w:color w:val="auto"/>
        </w:rPr>
        <w:t xml:space="preserve">Capital allocation-based income </w:t>
      </w:r>
      <w:r>
        <w:rPr>
          <w:rFonts w:ascii="Arial" w:cs="Arial" w:eastAsia="Arial" w:hAnsi="Arial"/>
          <w:sz w:val="18"/>
          <w:szCs w:val="18"/>
          <w:color w:val="auto"/>
        </w:rPr>
        <w:t>in Q4 2022 increased net revenues by $26.5 million. The Q4 2022 amount represents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of $84.8 million in accrued carried interest, substantially offset by $58.3 million in non-cash amortization and impairments associated with the difference in the closing date fair value and carrying value of investments acquired as part of the OHA acquisition. A corresponding Q4 2022 net compensation expense of $10.4 million was recognized in compensation and related costs with the unpaid amount reported as non-controlling interest on the consolidated balance sheet. For detail of the annual and quarterly change in accrued carried interest, which is reported as investments on the consolidated balance sheet, and related non-controlling interest, see the applicable tables at the end of this release.</w:t>
      </w:r>
    </w:p>
    <w:p>
      <w:pPr>
        <w:spacing w:after="0" w:line="227" w:lineRule="exact"/>
        <w:rPr>
          <w:rFonts w:ascii="Arial" w:cs="Arial" w:eastAsia="Arial" w:hAnsi="Arial"/>
          <w:sz w:val="22"/>
          <w:szCs w:val="22"/>
          <w:color w:val="40AEFF"/>
        </w:rPr>
      </w:pPr>
    </w:p>
    <w:p>
      <w:pPr>
        <w:ind w:left="660" w:right="80"/>
        <w:spacing w:after="0" w:line="372" w:lineRule="auto"/>
        <w:rPr>
          <w:rFonts w:ascii="Arial" w:cs="Arial" w:eastAsia="Arial" w:hAnsi="Arial"/>
          <w:sz w:val="22"/>
          <w:szCs w:val="22"/>
          <w:color w:val="40AEFF"/>
        </w:rPr>
      </w:pPr>
      <w:r>
        <w:rPr>
          <w:rFonts w:ascii="Arial" w:cs="Arial" w:eastAsia="Arial" w:hAnsi="Arial"/>
          <w:sz w:val="18"/>
          <w:szCs w:val="18"/>
          <w:color w:val="auto"/>
        </w:rPr>
        <w:t>Capital allocation-based income will fluctuate quarter to quarter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w:t>
      </w:r>
    </w:p>
    <w:p>
      <w:pPr>
        <w:spacing w:after="0" w:line="242" w:lineRule="exact"/>
        <w:rPr>
          <w:rFonts w:ascii="Arial" w:cs="Arial" w:eastAsia="Arial" w:hAnsi="Arial"/>
          <w:sz w:val="22"/>
          <w:szCs w:val="22"/>
          <w:color w:val="40AEFF"/>
        </w:rPr>
      </w:pPr>
    </w:p>
    <w:p>
      <w:pPr>
        <w:ind w:left="660" w:right="740" w:hanging="328"/>
        <w:spacing w:after="0" w:line="374" w:lineRule="auto"/>
        <w:tabs>
          <w:tab w:leader="none" w:pos="656" w:val="left"/>
        </w:tabs>
        <w:numPr>
          <w:ilvl w:val="0"/>
          <w:numId w:val="9"/>
        </w:numPr>
        <w:rPr>
          <w:rFonts w:ascii="Arial" w:cs="Arial" w:eastAsia="Arial" w:hAnsi="Arial"/>
          <w:sz w:val="22"/>
          <w:szCs w:val="22"/>
          <w:color w:val="40AEFF"/>
        </w:rPr>
      </w:pPr>
      <w:r>
        <w:rPr>
          <w:rFonts w:ascii="Arial" w:cs="Arial" w:eastAsia="Arial" w:hAnsi="Arial"/>
          <w:sz w:val="18"/>
          <w:szCs w:val="18"/>
          <w:b w:val="1"/>
          <w:bCs w:val="1"/>
          <w:color w:val="auto"/>
        </w:rPr>
        <w:t xml:space="preserve">Administrative, distribution, and servicing fees </w:t>
      </w:r>
      <w:r>
        <w:rPr>
          <w:rFonts w:ascii="Arial" w:cs="Arial" w:eastAsia="Arial" w:hAnsi="Arial"/>
          <w:sz w:val="18"/>
          <w:szCs w:val="18"/>
          <w:color w:val="auto"/>
        </w:rPr>
        <w:t>in Q4 2022 were $129.4 million, a decrease of 14.9% from Q4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attributable to lower 12b-1 fees earned from certain share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6" w:right="339" w:bottom="1440" w:gutter="0" w:footer="0" w:header="0"/>
        </w:sectPr>
      </w:pPr>
    </w:p>
    <w:bookmarkStart w:id="7" w:name="page8"/>
    <w:bookmarkEnd w:id="7"/>
    <w:p>
      <w:pPr>
        <w:ind w:left="660" w:right="320"/>
        <w:spacing w:after="0" w:line="396" w:lineRule="auto"/>
        <w:rPr>
          <w:sz w:val="20"/>
          <w:szCs w:val="20"/>
          <w:color w:val="auto"/>
        </w:rPr>
      </w:pPr>
      <w:r>
        <w:rPr>
          <w:rFonts w:ascii="Arial" w:cs="Arial" w:eastAsia="Arial" w:hAnsi="Arial"/>
          <w:sz w:val="18"/>
          <w:szCs w:val="18"/>
          <w:color w:val="auto"/>
        </w:rPr>
        <w:t>classes of the U.S. mutual funds and lower transfer agent servicing activities provided to the T. Rowe Price mutual funds, partially offset by higher trustee services revenue.</w:t>
      </w:r>
    </w:p>
    <w:p>
      <w:pPr>
        <w:spacing w:after="0" w:line="181" w:lineRule="exact"/>
        <w:rPr>
          <w:sz w:val="20"/>
          <w:szCs w:val="20"/>
          <w:color w:val="auto"/>
        </w:rPr>
      </w:pPr>
    </w:p>
    <w:p>
      <w:pPr>
        <w:ind w:right="120"/>
        <w:spacing w:after="0" w:line="37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Q4 2022 were $1,271.1 million, an increase of 15.6% compared with Q4 2021 and an increase of 25.4%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Q3 2022. The firm's Q4 2022 operating expenses include impairment charges of $175.0 million related to certain investment management contract intangible and trade name assets whose assessed fair value has declined below their respective carrying values. The firm's non-GAAP measures adjusts for the impact of these impairment charges. On a non-GAAP basis, the firm's operating expenses in Q4 2022 were $1,073.2 million, a 3.0% increase over Q4 2021 and an increase of 4.4% compared with Q3 2022. The firm's 2022 operating expenses include OHA's operating expenses, which primarily impact compensation expense; technology, occupancy, and facility costs; and general, administrative and other costs.</w:t>
      </w:r>
    </w:p>
    <w:p>
      <w:pPr>
        <w:spacing w:after="0" w:line="204"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In comparison with Q4 2021, the increase in non-GAAP operating expenses was primarily attributable to the addition of OHA operating expenses, salaries and benefits, severance and other costs associated with the Q4 2022 workforce reduction action, and higher costs related to the ongoing investment in the firm's technology capabilities. These increases were mostly offset by lower distribution and servicing costs and lower bonuses. In comparison with Q3 2022, the increase in non-GAAP operating expenses was primarily attributable to higher accrued carried interest compensation associated with the capital allocation-based income, severance and other related costs, and stock-based compensation expense related to the firm's annual equity grant.</w:t>
      </w:r>
    </w:p>
    <w:p>
      <w:pPr>
        <w:spacing w:after="0" w:line="245" w:lineRule="exact"/>
        <w:rPr>
          <w:sz w:val="20"/>
          <w:szCs w:val="20"/>
          <w:color w:val="auto"/>
        </w:rPr>
      </w:pPr>
    </w:p>
    <w:p>
      <w:pPr>
        <w:ind w:left="660" w:right="220" w:hanging="328"/>
        <w:spacing w:after="0" w:line="367" w:lineRule="auto"/>
        <w:tabs>
          <w:tab w:leader="none" w:pos="656" w:val="left"/>
        </w:tabs>
        <w:numPr>
          <w:ilvl w:val="0"/>
          <w:numId w:val="10"/>
        </w:numPr>
        <w:rPr>
          <w:rFonts w:ascii="Arial" w:cs="Arial" w:eastAsia="Arial" w:hAnsi="Arial"/>
          <w:sz w:val="21"/>
          <w:szCs w:val="21"/>
          <w:b w:val="1"/>
          <w:bCs w:val="1"/>
          <w:color w:val="40AEFF"/>
        </w:rPr>
      </w:pPr>
      <w:r>
        <w:rPr>
          <w:rFonts w:ascii="Arial" w:cs="Arial" w:eastAsia="Arial" w:hAnsi="Arial"/>
          <w:sz w:val="17"/>
          <w:szCs w:val="17"/>
          <w:b w:val="1"/>
          <w:bCs w:val="1"/>
          <w:color w:val="auto"/>
        </w:rPr>
        <w:t xml:space="preserve">Compensation and related costs </w:t>
      </w:r>
      <w:r>
        <w:rPr>
          <w:rFonts w:ascii="Arial" w:cs="Arial" w:eastAsia="Arial" w:hAnsi="Arial"/>
          <w:sz w:val="17"/>
          <w:szCs w:val="17"/>
          <w:color w:val="auto"/>
        </w:rPr>
        <w:t>on a U.S. GAAP basis were $687.7 million in Q4 2022, an increase of $56.6 million, or 9.0%,</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with Q4 2021 and an increase of $99.6 million, or 16.9%, from Q3 2022. Compensation and related costs, excluding the impact of the supplemental savings plan, accrued carried interest compensation, and non-cash amortization of certain acquisition-related retention arrangements, were $624.5 million in Q4 2022, an increase of 2.8% compared with Q4 2021 and an increase of</w:t>
      </w:r>
    </w:p>
    <w:p>
      <w:pPr>
        <w:spacing w:after="0" w:line="3" w:lineRule="exact"/>
        <w:rPr>
          <w:rFonts w:ascii="Arial" w:cs="Arial" w:eastAsia="Arial" w:hAnsi="Arial"/>
          <w:sz w:val="21"/>
          <w:szCs w:val="21"/>
          <w:b w:val="1"/>
          <w:bCs w:val="1"/>
          <w:color w:val="40AEFF"/>
        </w:rPr>
      </w:pPr>
    </w:p>
    <w:p>
      <w:pPr>
        <w:ind w:left="660" w:right="60"/>
        <w:spacing w:after="0" w:line="386" w:lineRule="auto"/>
        <w:rPr>
          <w:rFonts w:ascii="Arial" w:cs="Arial" w:eastAsia="Arial" w:hAnsi="Arial"/>
          <w:sz w:val="21"/>
          <w:szCs w:val="21"/>
          <w:b w:val="1"/>
          <w:bCs w:val="1"/>
          <w:color w:val="40AEFF"/>
        </w:rPr>
      </w:pPr>
      <w:r>
        <w:rPr>
          <w:rFonts w:ascii="Arial" w:cs="Arial" w:eastAsia="Arial" w:hAnsi="Arial"/>
          <w:sz w:val="18"/>
          <w:szCs w:val="18"/>
          <w:color w:val="auto"/>
        </w:rPr>
        <w:t>4.9% compared with Q3 2022. The increase from Q3 2022 includes higher accrued carried interest compensation associated with the capital allocation-based income, severance and other related costs, and stock-based compensation expense related to the firm's annual equity grant. The firm employed 7,868 associates at December 31, 2022, an increase of 4.5% from the end of 2021.</w:t>
      </w:r>
    </w:p>
    <w:p>
      <w:pPr>
        <w:spacing w:after="0" w:line="229" w:lineRule="exact"/>
        <w:rPr>
          <w:rFonts w:ascii="Arial" w:cs="Arial" w:eastAsia="Arial" w:hAnsi="Arial"/>
          <w:sz w:val="21"/>
          <w:szCs w:val="21"/>
          <w:b w:val="1"/>
          <w:bCs w:val="1"/>
          <w:color w:val="40AEFF"/>
        </w:rPr>
      </w:pPr>
    </w:p>
    <w:p>
      <w:pPr>
        <w:ind w:left="660" w:right="200" w:hanging="328"/>
        <w:spacing w:after="0" w:line="357" w:lineRule="auto"/>
        <w:tabs>
          <w:tab w:leader="none" w:pos="656" w:val="left"/>
        </w:tabs>
        <w:numPr>
          <w:ilvl w:val="0"/>
          <w:numId w:val="10"/>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$70.0 million in Q4 2022, a decrease of $29.6 million, or 29.7%, from the $99.6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Q4 2021 and relatively flat from Q3 2022. The decrease from Q4 2021 was primarily driven from lower average AUM of certain share classes of the U.S. mutual funds and of the firm's international products, including the Japanese Investment Trusts (ITMs) and certain SICAV share classes. These distribution costs are offset entirely in net revenues. For the ITMs and SICAVs, the related revenue is recognized in investment advisory revenues.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66" w:right="339" w:bottom="1440" w:gutter="0" w:footer="0" w:header="0"/>
        </w:sectPr>
      </w:pPr>
    </w:p>
    <w:bookmarkStart w:id="8" w:name="page9"/>
    <w:bookmarkEnd w:id="8"/>
    <w:p>
      <w:pPr>
        <w:ind w:left="660" w:right="80" w:hanging="328"/>
        <w:spacing w:after="0" w:line="354" w:lineRule="auto"/>
        <w:tabs>
          <w:tab w:leader="none" w:pos="656" w:val="left"/>
        </w:tabs>
        <w:numPr>
          <w:ilvl w:val="0"/>
          <w:numId w:val="11"/>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$28.2 million in Q4 2022, a decrease of $10.6 million, or 27.3%, from Q4 2021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$3.9 million, or 16.0%, from Q3 2022. The decrease from Q4 2021 was primarily driven by a decrease in digital media advertising costs during the 2022 quarter.</w:t>
      </w:r>
    </w:p>
    <w:p>
      <w:pPr>
        <w:spacing w:after="0" w:line="258" w:lineRule="exact"/>
        <w:rPr>
          <w:rFonts w:ascii="Arial" w:cs="Arial" w:eastAsia="Arial" w:hAnsi="Arial"/>
          <w:sz w:val="22"/>
          <w:szCs w:val="22"/>
          <w:color w:val="40AEFF"/>
        </w:rPr>
      </w:pPr>
    </w:p>
    <w:p>
      <w:pPr>
        <w:ind w:left="660" w:hanging="328"/>
        <w:spacing w:after="0" w:line="356" w:lineRule="auto"/>
        <w:tabs>
          <w:tab w:leader="none" w:pos="656" w:val="left"/>
        </w:tabs>
        <w:numPr>
          <w:ilvl w:val="0"/>
          <w:numId w:val="11"/>
        </w:numPr>
        <w:rPr>
          <w:rFonts w:ascii="Arial" w:cs="Arial" w:eastAsia="Arial" w:hAnsi="Arial"/>
          <w:sz w:val="22"/>
          <w:szCs w:val="22"/>
          <w:color w:val="40AEFF"/>
        </w:rPr>
      </w:pPr>
      <w:r>
        <w:rPr>
          <w:rFonts w:ascii="Arial" w:cs="Arial" w:eastAsia="Arial" w:hAnsi="Arial"/>
          <w:sz w:val="18"/>
          <w:szCs w:val="18"/>
          <w:b w:val="1"/>
          <w:bCs w:val="1"/>
          <w:color w:val="auto"/>
        </w:rPr>
        <w:t xml:space="preserve">Product and recordkeeping related expenses </w:t>
      </w:r>
      <w:r>
        <w:rPr>
          <w:rFonts w:ascii="Arial" w:cs="Arial" w:eastAsia="Arial" w:hAnsi="Arial"/>
          <w:sz w:val="18"/>
          <w:szCs w:val="18"/>
          <w:color w:val="auto"/>
        </w:rPr>
        <w:t>were $67.8 million in Q4 2022, a decrease of $13.9 million, or 17.0%, from Q4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a decrease of $7.8 million, or 10.3% from Q3 2022. Approximately 86% of the decrease from Q4 2021 was driven by the absence of certain transition expenses in Q4 2022 that were incurred in 2021 as part of the expanded recordkeeping relationship with Fidelity National Information Services, Inc. that began in August 2021.</w:t>
      </w:r>
    </w:p>
    <w:p>
      <w:pPr>
        <w:spacing w:after="0" w:line="269" w:lineRule="exact"/>
        <w:rPr>
          <w:rFonts w:ascii="Arial" w:cs="Arial" w:eastAsia="Arial" w:hAnsi="Arial"/>
          <w:sz w:val="22"/>
          <w:szCs w:val="22"/>
          <w:color w:val="40AEFF"/>
        </w:rPr>
      </w:pPr>
    </w:p>
    <w:p>
      <w:pPr>
        <w:ind w:left="660" w:hanging="328"/>
        <w:spacing w:after="0" w:line="356" w:lineRule="auto"/>
        <w:tabs>
          <w:tab w:leader="none" w:pos="656" w:val="left"/>
        </w:tabs>
        <w:numPr>
          <w:ilvl w:val="0"/>
          <w:numId w:val="11"/>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$148.7 million in Q4 2022, an increase of $23.5 million, or 18.8%, from Q4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an increase of $5.1 million, or 3.6%, from Q3 2022. The increase from Q4 2021 was primarily due to the ongoing investment in the firm's technology capabilities, including hosted solution licenses; related depreciation; and increased office facility costs, primarily related to higher rent expense and other facility occupancy costs.</w:t>
      </w:r>
    </w:p>
    <w:p>
      <w:pPr>
        <w:spacing w:after="0" w:line="256" w:lineRule="exact"/>
        <w:rPr>
          <w:rFonts w:ascii="Arial" w:cs="Arial" w:eastAsia="Arial" w:hAnsi="Arial"/>
          <w:sz w:val="22"/>
          <w:szCs w:val="22"/>
          <w:color w:val="40AEFF"/>
        </w:rPr>
      </w:pPr>
    </w:p>
    <w:p>
      <w:pPr>
        <w:ind w:left="660" w:hanging="328"/>
        <w:spacing w:after="0" w:line="356" w:lineRule="auto"/>
        <w:tabs>
          <w:tab w:leader="none" w:pos="656" w:val="left"/>
        </w:tabs>
        <w:numPr>
          <w:ilvl w:val="0"/>
          <w:numId w:val="11"/>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$102.1 million in Q4 2022, a decrease of $20.7 million, or 16.9%, compared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$122.8 million recognized in Q4 2021 and a decrease of $12.8 million, or 11.1%, from Q3 2022. The decrease from Q4 2021 was primarily related to the absence in Q4 2022 of transaction costs incurred in Q4 2021 to complete the acquisition of OHA and lower professional fees. These decreases were partially offset by higher travel expenses and information services costs.</w:t>
      </w:r>
    </w:p>
    <w:p>
      <w:pPr>
        <w:spacing w:after="0" w:line="216" w:lineRule="exact"/>
        <w:rPr>
          <w:sz w:val="20"/>
          <w:szCs w:val="20"/>
          <w:color w:val="auto"/>
        </w:rPr>
      </w:pPr>
    </w:p>
    <w:p>
      <w:pPr>
        <w:jc w:val="both"/>
        <w:ind w:right="20"/>
        <w:spacing w:after="0" w:line="377" w:lineRule="auto"/>
        <w:rPr>
          <w:sz w:val="20"/>
          <w:szCs w:val="20"/>
          <w:color w:val="auto"/>
        </w:rPr>
      </w:pPr>
      <w:r>
        <w:rPr>
          <w:rFonts w:ascii="Arial" w:cs="Arial" w:eastAsia="Arial" w:hAnsi="Arial"/>
          <w:sz w:val="18"/>
          <w:szCs w:val="18"/>
          <w:color w:val="auto"/>
        </w:rPr>
        <w:t>The firm currently estimates its 2023 non-GAAP operating expenses, excluding accrued carried interest compensation, will grow in the range of 2% to 6%. This range reflects the redeployment of $85 million in savings realized from the expense management actions taken in 2022 to fund strategic priorities. The firm could elect to further adjust its expense growth should unforeseen circumstances arise, including significant market movements.</w:t>
      </w:r>
    </w:p>
    <w:p>
      <w:pPr>
        <w:spacing w:after="0" w:line="198" w:lineRule="exact"/>
        <w:rPr>
          <w:sz w:val="20"/>
          <w:szCs w:val="20"/>
          <w:color w:val="auto"/>
        </w:rPr>
      </w:pPr>
    </w:p>
    <w:p>
      <w:pPr>
        <w:ind w:right="100"/>
        <w:spacing w:after="0" w:line="373"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income was $135.7 million in Q4 2022, compared with non-operating income of $50.1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Q4 2021. On a non-GAAP basis, non-operating income comprises the investment gains/losses generated from the firm's cash and discretionary investment portfolio. The investment gains on this portfolio totaled $33.7 million in Q4 2022, compared with $.2 million in the 2021 period, and investment losses of $3.7 million in Q3 2022. The components of non-operating income (loss) for Q4 2022 and Q4 2021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106" w:right="379" w:bottom="1440" w:gutter="0" w:footer="0" w:header="0"/>
        </w:sectPr>
      </w:pPr>
    </w:p>
    <w:bookmarkStart w:id="9" w:name="page10"/>
    <w:bookmarkEnd w:id="9"/>
    <w:p>
      <w:pPr>
        <w:ind w:right="224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following reconciles the statutory federal income tax rate to the firm's effective tax rate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the year ended 2022 and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shd w:val="clear" w:color="auto" w:fill="CCEEFF"/>
          </w:tcPr>
          <w:p>
            <w:pPr>
              <w:spacing w:after="0"/>
              <w:rPr>
                <w:sz w:val="17"/>
                <w:szCs w:val="17"/>
                <w:color w:val="auto"/>
              </w:rPr>
            </w:pPr>
          </w:p>
        </w:tc>
        <w:tc>
          <w:tcPr>
            <w:tcW w:w="3060" w:type="dxa"/>
            <w:vAlign w:val="bottom"/>
            <w:tcBorders>
              <w:right w:val="single" w:sz="8" w:color="auto"/>
            </w:tcBorders>
            <w:gridSpan w:val="4"/>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1180"/>
              <w:spacing w:after="0"/>
              <w:rPr>
                <w:sz w:val="20"/>
                <w:szCs w:val="20"/>
                <w:color w:val="auto"/>
              </w:rPr>
            </w:pPr>
            <w:r>
              <w:rPr>
                <w:rFonts w:ascii="Arial" w:cs="Arial" w:eastAsia="Arial" w:hAnsi="Arial"/>
                <w:sz w:val="14"/>
                <w:szCs w:val="14"/>
                <w:b w:val="1"/>
                <w:bCs w:val="1"/>
                <w:color w:val="auto"/>
              </w:rPr>
              <w:t>Year ended</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6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12/31/2022</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Arial" w:cs="Arial" w:eastAsia="Arial" w:hAnsi="Arial"/>
                <w:sz w:val="16"/>
                <w:szCs w:val="16"/>
                <w:color w:val="auto"/>
              </w:rPr>
              <w:t>State income taxes for current year, net of federal income tax</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1420" w:type="dxa"/>
            <w:vAlign w:val="bottom"/>
            <w:vMerge w:val="restart"/>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losses attributable to redeemable</w:t>
            </w:r>
          </w:p>
        </w:tc>
        <w:tc>
          <w:tcPr>
            <w:tcW w:w="14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non-controlling interests</w:t>
            </w:r>
            <w:r>
              <w:rPr>
                <w:rFonts w:ascii="Arial" w:cs="Arial" w:eastAsia="Arial" w:hAnsi="Arial"/>
                <w:sz w:val="21"/>
                <w:szCs w:val="21"/>
                <w:color w:val="auto"/>
                <w:vertAlign w:val="superscript"/>
              </w:rPr>
              <w:t>(2)</w:t>
            </w: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Arial" w:cs="Arial" w:eastAsia="Arial" w:hAnsi="Arial"/>
                <w:sz w:val="16"/>
                <w:szCs w:val="16"/>
                <w:color w:val="auto"/>
              </w:rPr>
              <w:t>Net excess tax benefits from stock-based compensation plans</w:t>
            </w:r>
          </w:p>
        </w:tc>
        <w:tc>
          <w:tcPr>
            <w:tcW w:w="1420" w:type="dxa"/>
            <w:vAlign w:val="bottom"/>
            <w:vMerge w:val="restart"/>
          </w:tcPr>
          <w:p>
            <w:pPr>
              <w:jc w:val="right"/>
              <w:ind w:right="1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20" w:type="dxa"/>
            <w:vAlign w:val="bottom"/>
            <w:vMerge w:val="restart"/>
          </w:tcPr>
          <w:p>
            <w:pPr>
              <w:jc w:val="right"/>
              <w:ind w:right="80"/>
              <w:spacing w:after="0"/>
              <w:rPr>
                <w:sz w:val="20"/>
                <w:szCs w:val="20"/>
                <w:color w:val="auto"/>
              </w:rPr>
            </w:pPr>
            <w:r>
              <w:rPr>
                <w:rFonts w:ascii="Arial" w:cs="Arial" w:eastAsia="Arial" w:hAnsi="Arial"/>
                <w:sz w:val="16"/>
                <w:szCs w:val="16"/>
                <w:color w:val="auto"/>
              </w:rPr>
              <w:t>(5.3)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8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activity</w:t>
            </w: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4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288" w:lineRule="exact"/>
        <w:rPr>
          <w:sz w:val="20"/>
          <w:szCs w:val="20"/>
          <w:color w:val="auto"/>
        </w:rPr>
      </w:pPr>
    </w:p>
    <w:p>
      <w:pPr>
        <w:ind w:right="20"/>
        <w:spacing w:after="0" w:line="370"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26.4% for Q4 2022, compared with 20.0% for Q4 2021. The Q4 2022 non-GAAP effective tax rate was unfavorably impacted by a reduction in the discrete tax benefits associated with option exercises and restricted stock vests, which were lower in Q4 2022 as compared to those in the 2021 quarter. Furthermore, our effective tax rate was unfavorably impacted by a valuation allowance recorded to recognize only the portion of a UK-based deferred tax asset that is more likely than not to be realized. These unfavorable impacts were partially offset by a lower state effective tax rate.</w:t>
      </w:r>
    </w:p>
    <w:p>
      <w:pPr>
        <w:spacing w:after="0" w:line="205"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The firm estimates that its effective tax rate for the full year 2023 will be in the range of 24.5% to 28.5%, on a U.S. GAAP basis, and 24.5% to 27.5%, on a non-GAAP basis.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left="5580" w:right="580" w:hanging="5572"/>
        <w:spacing w:after="0" w:line="625" w:lineRule="auto"/>
        <w:tabs>
          <w:tab w:leader="none" w:pos="334" w:val="left"/>
        </w:tabs>
        <w:numPr>
          <w:ilvl w:val="0"/>
          <w:numId w:val="13"/>
        </w:numPr>
        <w:rPr>
          <w:rFonts w:ascii="Arial" w:cs="Arial" w:eastAsia="Arial" w:hAnsi="Arial"/>
          <w:sz w:val="22"/>
          <w:szCs w:val="22"/>
          <w:color w:val="40AEFF"/>
        </w:rPr>
      </w:pPr>
      <w:r>
        <w:rPr>
          <w:rFonts w:ascii="Arial" w:cs="Arial" w:eastAsia="Arial" w:hAnsi="Arial"/>
          <w:sz w:val="18"/>
          <w:szCs w:val="18"/>
          <w:color w:val="auto"/>
        </w:rPr>
        <w:t>The firm's common shares outstanding were 224.3 million at December 31, 2022, compared with 229.2 million at the end of 2021. 8</w:t>
      </w:r>
    </w:p>
    <w:p>
      <w:pPr>
        <w:sectPr>
          <w:pgSz w:w="11900" w:h="16838" w:orient="portrait"/>
          <w:cols w:equalWidth="0" w:num="1">
            <w:col w:w="11220"/>
          </w:cols>
          <w:pgMar w:left="320" w:top="1066" w:right="359" w:bottom="1440" w:gutter="0" w:footer="0" w:header="0"/>
        </w:sectPr>
      </w:pPr>
    </w:p>
    <w:bookmarkStart w:id="10" w:name="page11"/>
    <w:bookmarkEnd w:id="10"/>
    <w:p>
      <w:pPr>
        <w:ind w:left="340" w:right="360" w:hanging="332"/>
        <w:spacing w:after="0" w:line="341" w:lineRule="auto"/>
        <w:tabs>
          <w:tab w:leader="none" w:pos="336" w:val="left"/>
        </w:tabs>
        <w:numPr>
          <w:ilvl w:val="0"/>
          <w:numId w:val="14"/>
        </w:numPr>
        <w:rPr>
          <w:rFonts w:ascii="Arial" w:cs="Arial" w:eastAsia="Arial" w:hAnsi="Arial"/>
          <w:sz w:val="22"/>
          <w:szCs w:val="22"/>
          <w:color w:val="40AEFF"/>
        </w:rPr>
      </w:pPr>
      <w:r>
        <w:rPr>
          <w:rFonts w:ascii="Arial" w:cs="Arial" w:eastAsia="Arial" w:hAnsi="Arial"/>
          <w:sz w:val="18"/>
          <w:szCs w:val="18"/>
          <w:color w:val="auto"/>
        </w:rPr>
        <w:t>In 2022, the firm expended $855.3 million to repurchase 6.8 million shares, or 2.9%, of its outstanding common shares at an average price of $126.69, including $111.3 million to repurchase 1.0 million shares during Q4 2022.</w:t>
      </w:r>
    </w:p>
    <w:p>
      <w:pPr>
        <w:spacing w:after="0" w:line="34" w:lineRule="exact"/>
        <w:rPr>
          <w:rFonts w:ascii="Arial" w:cs="Arial" w:eastAsia="Arial" w:hAnsi="Arial"/>
          <w:sz w:val="22"/>
          <w:szCs w:val="22"/>
          <w:color w:val="40AEFF"/>
        </w:rPr>
      </w:pPr>
    </w:p>
    <w:p>
      <w:pPr>
        <w:ind w:left="340" w:right="460" w:hanging="332"/>
        <w:spacing w:after="0" w:line="354" w:lineRule="auto"/>
        <w:tabs>
          <w:tab w:leader="none" w:pos="336" w:val="left"/>
        </w:tabs>
        <w:numPr>
          <w:ilvl w:val="0"/>
          <w:numId w:val="14"/>
        </w:numPr>
        <w:rPr>
          <w:rFonts w:ascii="Arial" w:cs="Arial" w:eastAsia="Arial" w:hAnsi="Arial"/>
          <w:sz w:val="22"/>
          <w:szCs w:val="22"/>
          <w:color w:val="40AEFF"/>
        </w:rPr>
      </w:pPr>
      <w:r>
        <w:rPr>
          <w:rFonts w:ascii="Arial" w:cs="Arial" w:eastAsia="Arial" w:hAnsi="Arial"/>
          <w:sz w:val="18"/>
          <w:szCs w:val="18"/>
          <w:color w:val="auto"/>
        </w:rPr>
        <w:t>The firm invested $237.6 million during 2022 in capitalized facilities and technology. The firm currently expects capital expenditures, including internal labor capitalization, for 2023 to be about $350 million, of which more than two-thirds is planned for technology initiatives. These expenditures are expected to continue to be funded from the firm's operating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3"/>
          <w:szCs w:val="23"/>
          <w:b w:val="1"/>
          <w:bCs w:val="1"/>
          <w:color w:val="auto"/>
          <w:vertAlign w:val="superscript"/>
        </w:rPr>
        <w:t>(1)</w:t>
      </w:r>
    </w:p>
    <w:p>
      <w:pPr>
        <w:spacing w:after="0" w:line="24" w:lineRule="exact"/>
        <w:rPr>
          <w:sz w:val="20"/>
          <w:szCs w:val="20"/>
          <w:color w:val="auto"/>
        </w:rPr>
      </w:pPr>
    </w:p>
    <w:p>
      <w:pPr>
        <w:jc w:val="both"/>
        <w:ind w:right="140"/>
        <w:spacing w:after="0" w:line="375"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December 31, 2022. Past performance is no guarantee of future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80%</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r>
      <w:tr>
        <w:trPr>
          <w:trHeight w:val="108"/>
        </w:trPr>
        <w:tc>
          <w:tcPr>
            <w:tcW w:w="3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0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70%</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bl>
    <w:p>
      <w:pPr>
        <w:spacing w:after="0" w:line="334"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As of December 31, 2022, 72 of 125 (57.6%)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65.9%</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2022 with an overall rating of 4 or 5 stars.</w:t>
      </w:r>
    </w:p>
    <w:p>
      <w:pPr>
        <w:spacing w:after="0" w:line="196"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w:t>
      </w:r>
    </w:p>
    <w:p>
      <w:pPr>
        <w:ind w:left="140" w:hanging="132"/>
        <w:spacing w:after="0"/>
        <w:tabs>
          <w:tab w:leader="none" w:pos="140"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1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$298B for 1 year, $297B for 3 years, $297B for 5 years, and $293B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$282B for 1 year, $252B for 3 years, $249B for 5 years, and $236B for 10 years.</w:t>
      </w:r>
    </w:p>
    <w:p>
      <w:pPr>
        <w:spacing w:after="0" w:line="1" w:lineRule="exact"/>
        <w:rPr>
          <w:rFonts w:ascii="Arial" w:cs="Arial" w:eastAsia="Arial" w:hAnsi="Arial"/>
          <w:sz w:val="9"/>
          <w:szCs w:val="9"/>
          <w:i w:val="1"/>
          <w:iCs w:val="1"/>
          <w:color w:val="auto"/>
        </w:rPr>
      </w:pPr>
    </w:p>
    <w:p>
      <w:pPr>
        <w:ind w:right="240" w:firstLine="8"/>
        <w:spacing w:after="0" w:line="231" w:lineRule="auto"/>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$1,117B for 1 year, $1,112B for 3 years, $1,108B for 5 years, and $1,070B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1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ind w:right="40"/>
        <w:spacing w:after="0" w:line="373" w:lineRule="auto"/>
        <w:rPr>
          <w:sz w:val="20"/>
          <w:szCs w:val="20"/>
          <w:color w:val="auto"/>
        </w:rPr>
      </w:pPr>
      <w:r>
        <w:rPr>
          <w:rFonts w:ascii="Arial" w:cs="Arial" w:eastAsia="Arial" w:hAnsi="Arial"/>
          <w:sz w:val="18"/>
          <w:szCs w:val="18"/>
          <w:color w:val="auto"/>
        </w:rPr>
        <w:t>The financial results presented in this release are unaudited. KPMG LLP is currently completing its audit of the firm's 2022 consolidated financial statements and internal controls over financial reporting at December 31, 2022. The firm expects that KPMG LLP will complete its audit in February and that the firm will then file its Annual Report on Form 10-K for 2022 with the U.S. Securities and Exchange Commission. The Form 10-K will include additional information, including the firm's audited consolidated financial statements, management's report on internal controls over financial reporting at December 31, 2022, and the reports of KPMG LLP.</w:t>
      </w:r>
    </w:p>
    <w:p>
      <w:pPr>
        <w:spacing w:after="0" w:line="201" w:lineRule="exact"/>
        <w:rPr>
          <w:sz w:val="20"/>
          <w:szCs w:val="20"/>
          <w:color w:val="auto"/>
        </w:rPr>
      </w:pPr>
    </w:p>
    <w:p>
      <w:pPr>
        <w:spacing w:after="0" w:line="368"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the timing and expense related to the integration of OHA with and into our business, general economic conditions, government actions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2021 Annual Report on Form 10-K.</w:t>
      </w:r>
    </w:p>
    <w:p>
      <w:pPr>
        <w:spacing w:after="0" w:line="208" w:lineRule="exact"/>
        <w:rPr>
          <w:sz w:val="20"/>
          <w:szCs w:val="20"/>
          <w:color w:val="auto"/>
        </w:rPr>
      </w:pPr>
    </w:p>
    <w:p>
      <w:pPr>
        <w:ind w:right="120"/>
        <w:spacing w:after="0" w:line="377"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19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4620" w:type="dxa"/>
            <w:vAlign w:val="bottom"/>
            <w:gridSpan w:val="3"/>
          </w:tcPr>
          <w:p>
            <w:pPr>
              <w:ind w:left="1900"/>
              <w:spacing w:after="0"/>
              <w:rPr>
                <w:sz w:val="20"/>
                <w:szCs w:val="20"/>
                <w:color w:val="auto"/>
              </w:rPr>
            </w:pPr>
            <w:r>
              <w:rPr>
                <w:rFonts w:ascii="Arial" w:cs="Arial" w:eastAsia="Arial" w:hAnsi="Arial"/>
                <w:sz w:val="18"/>
                <w:szCs w:val="18"/>
                <w:b w:val="1"/>
                <w:bCs w:val="1"/>
                <w:color w:val="054C70"/>
              </w:rPr>
              <w:t>Investor Relations</w:t>
            </w:r>
          </w:p>
        </w:tc>
      </w:tr>
      <w:tr>
        <w:trPr>
          <w:trHeight w:val="245"/>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auto"/>
              </w:rPr>
              <w:t>Kyle White</w:t>
            </w:r>
          </w:p>
        </w:tc>
        <w:tc>
          <w:tcPr>
            <w:tcW w:w="30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410-345-3797</w:t>
            </w:r>
          </w:p>
        </w:tc>
        <w:tc>
          <w:tcPr>
            <w:tcW w:w="3060" w:type="dxa"/>
            <w:vAlign w:val="bottom"/>
          </w:tcPr>
          <w:p>
            <w:pPr>
              <w:spacing w:after="0"/>
              <w:rPr>
                <w:sz w:val="19"/>
                <w:szCs w:val="19"/>
                <w:color w:val="auto"/>
              </w:rPr>
            </w:pPr>
          </w:p>
        </w:tc>
        <w:tc>
          <w:tcPr>
            <w:tcW w:w="3460" w:type="dxa"/>
            <w:vAlign w:val="bottom"/>
            <w:gridSpan w:val="2"/>
          </w:tcPr>
          <w:p>
            <w:pPr>
              <w:ind w:left="190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054C70"/>
              </w:rPr>
              <w:t>kyle.white@troweprice.com</w:t>
            </w:r>
          </w:p>
        </w:tc>
        <w:tc>
          <w:tcPr>
            <w:tcW w:w="4620" w:type="dxa"/>
            <w:vAlign w:val="bottom"/>
            <w:gridSpan w:val="3"/>
          </w:tcPr>
          <w:p>
            <w:pPr>
              <w:ind w:left="190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361"/>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Dasha Smith</w:t>
            </w:r>
          </w:p>
        </w:tc>
        <w:tc>
          <w:tcPr>
            <w:tcW w:w="1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410-345-3715</w:t>
            </w:r>
          </w:p>
        </w:tc>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054C70"/>
              </w:rPr>
              <w:t>dasha.smith@troweprice.com</w:t>
            </w:r>
          </w:p>
        </w:tc>
        <w:tc>
          <w:tcPr>
            <w:tcW w:w="19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06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4"/>
                <w:szCs w:val="14"/>
                <w:color w:val="auto"/>
              </w:rPr>
              <w:t>Three months ended</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708"/>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12/31/2021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9/30/2022</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12/31/2022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12/31/2021</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advisory fees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1,368.3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1,442.0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7,098.1</w:t>
            </w:r>
          </w:p>
        </w:tc>
        <w:tc>
          <w:tcPr>
            <w:tcW w:w="0" w:type="dxa"/>
            <w:vAlign w:val="bottom"/>
          </w:tcPr>
          <w:p>
            <w:pPr>
              <w:spacing w:after="0"/>
              <w:rPr>
                <w:sz w:val="1"/>
                <w:szCs w:val="1"/>
                <w:color w:val="auto"/>
              </w:rPr>
            </w:pPr>
          </w:p>
        </w:tc>
      </w:tr>
      <w:tr>
        <w:trPr>
          <w:trHeight w:val="199"/>
        </w:trPr>
        <w:tc>
          <w:tcPr>
            <w:tcW w:w="4680" w:type="dxa"/>
            <w:vAlign w:val="bottom"/>
          </w:tcPr>
          <w:p>
            <w:pPr>
              <w:ind w:left="100"/>
              <w:spacing w:after="0"/>
              <w:rPr>
                <w:sz w:val="20"/>
                <w:szCs w:val="20"/>
                <w:color w:val="auto"/>
              </w:rPr>
            </w:pPr>
            <w:r>
              <w:rPr>
                <w:rFonts w:ascii="Arial" w:cs="Arial" w:eastAsia="Arial" w:hAnsi="Arial"/>
                <w:sz w:val="14"/>
                <w:szCs w:val="14"/>
                <w:color w:val="auto"/>
              </w:rPr>
              <w:t>Capital allocation-based income</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Administrative, distribution, and servicing fees</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Arial" w:cs="Arial" w:eastAsia="Arial" w:hAnsi="Arial"/>
                <w:sz w:val="14"/>
                <w:szCs w:val="14"/>
                <w:b w:val="1"/>
                <w:bCs w:val="1"/>
                <w:color w:val="auto"/>
              </w:rPr>
              <w:t>Net revenues</w:t>
            </w:r>
          </w:p>
        </w:tc>
        <w:tc>
          <w:tcPr>
            <w:tcW w:w="2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1,524.2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1,961.7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1,588.2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7,671.9</w:t>
            </w:r>
          </w:p>
        </w:tc>
        <w:tc>
          <w:tcPr>
            <w:tcW w:w="0" w:type="dxa"/>
            <w:vAlign w:val="bottom"/>
          </w:tcPr>
          <w:p>
            <w:pPr>
              <w:spacing w:after="0"/>
              <w:rPr>
                <w:sz w:val="1"/>
                <w:szCs w:val="1"/>
                <w:color w:val="auto"/>
              </w:rPr>
            </w:pPr>
          </w:p>
        </w:tc>
      </w:tr>
      <w:tr>
        <w:trPr>
          <w:trHeight w:val="96"/>
        </w:trPr>
        <w:tc>
          <w:tcPr>
            <w:tcW w:w="4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680" w:type="dxa"/>
            <w:vAlign w:val="bottom"/>
            <w:shd w:val="clear" w:color="auto" w:fill="CCEEFF"/>
          </w:tcPr>
          <w:p>
            <w:pPr>
              <w:ind w:left="220"/>
              <w:spacing w:after="0" w:line="154" w:lineRule="exact"/>
              <w:rPr>
                <w:sz w:val="20"/>
                <w:szCs w:val="20"/>
                <w:color w:val="auto"/>
              </w:rPr>
            </w:pPr>
            <w:r>
              <w:rPr>
                <w:rFonts w:ascii="Arial" w:cs="Arial" w:eastAsia="Arial" w:hAnsi="Arial"/>
                <w:sz w:val="14"/>
                <w:szCs w:val="14"/>
                <w:color w:val="auto"/>
              </w:rPr>
              <w:t>Compensation and related costs, excluding acquisition-related</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8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retention agreements, capital allocation-based income compensation,</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595.6</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2,300.0</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supplemental savings plan</w:t>
            </w: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20"/>
              <w:spacing w:after="0"/>
              <w:rPr>
                <w:sz w:val="20"/>
                <w:szCs w:val="20"/>
                <w:color w:val="auto"/>
              </w:rPr>
            </w:pPr>
            <w:r>
              <w:rPr>
                <w:rFonts w:ascii="Arial" w:cs="Arial" w:eastAsia="Arial" w:hAnsi="Arial"/>
                <w:sz w:val="14"/>
                <w:szCs w:val="14"/>
                <w:color w:val="auto"/>
              </w:rPr>
              <w:t>Acquisition-related retention agreements</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allocation-based income compensation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Supplemental savings plan</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related costs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588.1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2,383.0</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Distribution and servicing</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373.9</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Advertising and promotion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Product and recordkeeping related costs</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 occupancy, and facility costs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114.9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fair value adjustments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Acquisition-related amortization and impairment costs</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6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1,271.1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1,013.6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4,114.7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3,961.9</w:t>
            </w:r>
          </w:p>
        </w:tc>
        <w:tc>
          <w:tcPr>
            <w:tcW w:w="0" w:type="dxa"/>
            <w:vAlign w:val="bottom"/>
          </w:tcPr>
          <w:p>
            <w:pPr>
              <w:spacing w:after="0"/>
              <w:rPr>
                <w:sz w:val="1"/>
                <w:szCs w:val="1"/>
                <w:color w:val="auto"/>
              </w:rPr>
            </w:pPr>
          </w:p>
        </w:tc>
      </w:tr>
      <w:tr>
        <w:trPr>
          <w:trHeight w:val="76"/>
        </w:trPr>
        <w:tc>
          <w:tcPr>
            <w:tcW w:w="4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574.6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3,710.0</w:t>
            </w:r>
          </w:p>
        </w:tc>
        <w:tc>
          <w:tcPr>
            <w:tcW w:w="0" w:type="dxa"/>
            <w:vAlign w:val="bottom"/>
          </w:tcPr>
          <w:p>
            <w:pPr>
              <w:spacing w:after="0"/>
              <w:rPr>
                <w:sz w:val="1"/>
                <w:szCs w:val="1"/>
                <w:color w:val="auto"/>
              </w:rPr>
            </w:pPr>
          </w:p>
        </w:tc>
      </w:tr>
      <w:tr>
        <w:trPr>
          <w:trHeight w:val="94"/>
        </w:trPr>
        <w:tc>
          <w:tcPr>
            <w:tcW w:w="4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140"/>
              <w:spacing w:after="0"/>
              <w:rPr>
                <w:sz w:val="20"/>
                <w:szCs w:val="20"/>
                <w:color w:val="auto"/>
              </w:rPr>
            </w:pPr>
            <w:r>
              <w:rPr>
                <w:rFonts w:ascii="Arial" w:cs="Arial" w:eastAsia="Arial" w:hAnsi="Arial"/>
                <w:sz w:val="14"/>
                <w:szCs w:val="14"/>
                <w:color w:val="auto"/>
              </w:rPr>
              <w:t>Net gains (losses) on investments</w:t>
            </w: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98"/>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(loss)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284.6</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3,994.6</w:t>
            </w:r>
          </w:p>
        </w:tc>
        <w:tc>
          <w:tcPr>
            <w:tcW w:w="0" w:type="dxa"/>
            <w:vAlign w:val="bottom"/>
          </w:tcPr>
          <w:p>
            <w:pPr>
              <w:spacing w:after="0"/>
              <w:rPr>
                <w:sz w:val="1"/>
                <w:szCs w:val="1"/>
                <w:color w:val="auto"/>
              </w:rPr>
            </w:pPr>
          </w:p>
        </w:tc>
      </w:tr>
      <w:tr>
        <w:trPr>
          <w:trHeight w:val="19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3,098.5</w:t>
            </w:r>
          </w:p>
        </w:tc>
        <w:tc>
          <w:tcPr>
            <w:tcW w:w="0" w:type="dxa"/>
            <w:vAlign w:val="bottom"/>
          </w:tcPr>
          <w:p>
            <w:pPr>
              <w:spacing w:after="0"/>
              <w:rPr>
                <w:sz w:val="1"/>
                <w:szCs w:val="1"/>
                <w:color w:val="auto"/>
              </w:rPr>
            </w:pPr>
          </w:p>
        </w:tc>
      </w:tr>
      <w:tr>
        <w:trPr>
          <w:trHeight w:val="153"/>
        </w:trPr>
        <w:tc>
          <w:tcPr>
            <w:tcW w:w="4680" w:type="dxa"/>
            <w:vAlign w:val="bottom"/>
          </w:tcPr>
          <w:p>
            <w:pPr>
              <w:ind w:left="100"/>
              <w:spacing w:after="0" w:line="153" w:lineRule="exact"/>
              <w:rPr>
                <w:sz w:val="20"/>
                <w:szCs w:val="20"/>
                <w:color w:val="auto"/>
              </w:rPr>
            </w:pPr>
            <w:r>
              <w:rPr>
                <w:rFonts w:ascii="Arial" w:cs="Arial" w:eastAsia="Arial" w:hAnsi="Arial"/>
                <w:sz w:val="14"/>
                <w:szCs w:val="14"/>
                <w:color w:val="auto"/>
              </w:rPr>
              <w:t>Less: net income (loss) attributable to redeemable non-controlling</w:t>
            </w:r>
          </w:p>
        </w:tc>
        <w:tc>
          <w:tcPr>
            <w:tcW w:w="20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3,082.9</w:t>
            </w:r>
          </w:p>
        </w:tc>
        <w:tc>
          <w:tcPr>
            <w:tcW w:w="0" w:type="dxa"/>
            <w:vAlign w:val="bottom"/>
          </w:tcPr>
          <w:p>
            <w:pPr>
              <w:spacing w:after="0"/>
              <w:rPr>
                <w:sz w:val="1"/>
                <w:szCs w:val="1"/>
                <w:color w:val="auto"/>
              </w:rPr>
            </w:pPr>
          </w:p>
        </w:tc>
      </w:tr>
      <w:tr>
        <w:trPr>
          <w:trHeight w:val="153"/>
        </w:trPr>
        <w:tc>
          <w:tcPr>
            <w:tcW w:w="4680" w:type="dxa"/>
            <w:vAlign w:val="bottom"/>
          </w:tcPr>
          <w:p>
            <w:pPr>
              <w:ind w:left="100"/>
              <w:spacing w:after="0" w:line="153" w:lineRule="exact"/>
              <w:rPr>
                <w:sz w:val="20"/>
                <w:szCs w:val="20"/>
                <w:color w:val="auto"/>
              </w:rPr>
            </w:pPr>
            <w:r>
              <w:rPr>
                <w:rFonts w:ascii="Arial" w:cs="Arial" w:eastAsia="Arial" w:hAnsi="Arial"/>
                <w:sz w:val="14"/>
                <w:szCs w:val="14"/>
                <w:color w:val="auto"/>
              </w:rPr>
              <w:t>Less: net income allocated to outstanding restricted stock and stock</w:t>
            </w:r>
          </w:p>
        </w:tc>
        <w:tc>
          <w:tcPr>
            <w:tcW w:w="20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unit holders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3,002.4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Diluted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223.7</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assuming dilution</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presents investment advisory revenues for the three months and year-ended December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5"/>
            <w:shd w:val="clear" w:color="auto" w:fill="CCEEFF"/>
          </w:tcPr>
          <w:p>
            <w:pPr>
              <w:jc w:val="center"/>
              <w:ind w:right="180"/>
              <w:spacing w:after="0"/>
              <w:rPr>
                <w:sz w:val="20"/>
                <w:szCs w:val="20"/>
                <w:color w:val="auto"/>
              </w:rPr>
            </w:pPr>
            <w:r>
              <w:rPr>
                <w:rFonts w:ascii="Arial" w:cs="Arial" w:eastAsia="Arial" w:hAnsi="Arial"/>
                <w:sz w:val="14"/>
                <w:szCs w:val="14"/>
                <w:color w:val="auto"/>
              </w:rPr>
              <w:t>Three months ended</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gridSpan w:val="7"/>
            <w:shd w:val="clear" w:color="auto" w:fill="CCEEFF"/>
          </w:tcPr>
          <w:p>
            <w:pPr>
              <w:ind w:left="740"/>
              <w:spacing w:after="0"/>
              <w:rPr>
                <w:sz w:val="20"/>
                <w:szCs w:val="20"/>
                <w:color w:val="auto"/>
              </w:rPr>
            </w:pPr>
            <w:r>
              <w:rPr>
                <w:rFonts w:ascii="Arial" w:cs="Arial" w:eastAsia="Arial" w:hAnsi="Arial"/>
                <w:sz w:val="14"/>
                <w:szCs w:val="14"/>
                <w:color w:val="auto"/>
              </w:rPr>
              <w:t>Year ended</w:t>
            </w:r>
          </w:p>
        </w:tc>
      </w:tr>
      <w:tr>
        <w:trPr>
          <w:trHeight w:val="192"/>
        </w:trPr>
        <w:tc>
          <w:tcPr>
            <w:tcW w:w="6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12/31/2021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12/31/2022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12/31/2021</w:t>
            </w:r>
          </w:p>
        </w:tc>
        <w:tc>
          <w:tcPr>
            <w:tcW w:w="40" w:type="dxa"/>
            <w:vAlign w:val="bottom"/>
            <w:tcBorders>
              <w:bottom w:val="single" w:sz="8" w:color="auto"/>
            </w:tcBorders>
          </w:tcPr>
          <w:p>
            <w:pPr>
              <w:spacing w:after="0"/>
              <w:rPr>
                <w:sz w:val="16"/>
                <w:szCs w:val="16"/>
                <w:color w:val="auto"/>
              </w:rPr>
            </w:pPr>
          </w:p>
        </w:tc>
      </w:tr>
      <w:tr>
        <w:trPr>
          <w:trHeight w:val="187"/>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538.8</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807.7</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2,415.3</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3,118.5</w:t>
            </w:r>
          </w:p>
        </w:tc>
        <w:tc>
          <w:tcPr>
            <w:tcW w:w="40" w:type="dxa"/>
            <w:vAlign w:val="bottom"/>
          </w:tcPr>
          <w:p>
            <w:pPr>
              <w:spacing w:after="0"/>
              <w:rPr>
                <w:sz w:val="17"/>
                <w:szCs w:val="17"/>
                <w:color w:val="auto"/>
              </w:rPr>
            </w:pPr>
          </w:p>
        </w:tc>
      </w:tr>
      <w:tr>
        <w:trPr>
          <w:trHeight w:val="207"/>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Fixed income, including money market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Multi-asset</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w:t>
            </w:r>
          </w:p>
        </w:tc>
        <w:tc>
          <w:tcPr>
            <w:tcW w:w="40" w:type="dxa"/>
            <w:vAlign w:val="bottom"/>
            <w:tcBorders>
              <w:bottom w:val="single" w:sz="8" w:color="auto"/>
            </w:tcBorders>
          </w:tcPr>
          <w:p>
            <w:pPr>
              <w:spacing w:after="0"/>
              <w:rPr>
                <w:sz w:val="17"/>
                <w:szCs w:val="17"/>
                <w:color w:val="auto"/>
              </w:rPr>
            </w:pPr>
          </w:p>
        </w:tc>
      </w:tr>
      <w:tr>
        <w:trPr>
          <w:trHeight w:val="200"/>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3,486.2</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4,388.9</w:t>
            </w:r>
          </w:p>
        </w:tc>
        <w:tc>
          <w:tcPr>
            <w:tcW w:w="40" w:type="dxa"/>
            <w:vAlign w:val="bottom"/>
            <w:tcBorders>
              <w:bottom w:val="single" w:sz="8" w:color="auto"/>
            </w:tcBorders>
            <w:shd w:val="clear" w:color="auto" w:fill="CCEEFF"/>
          </w:tcPr>
          <w:p>
            <w:pPr>
              <w:spacing w:after="0"/>
              <w:rPr>
                <w:sz w:val="17"/>
                <w:szCs w:val="17"/>
                <w:color w:val="auto"/>
              </w:rPr>
            </w:pPr>
          </w:p>
        </w:tc>
      </w:tr>
      <w:tr>
        <w:trPr>
          <w:trHeight w:val="133"/>
        </w:trPr>
        <w:tc>
          <w:tcPr>
            <w:tcW w:w="600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 investment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5"/>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products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1,781.4</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Fixed income, including money market</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164.6</w:t>
            </w:r>
          </w:p>
        </w:tc>
        <w:tc>
          <w:tcPr>
            <w:tcW w:w="40" w:type="dxa"/>
            <w:vAlign w:val="bottom"/>
          </w:tcPr>
          <w:p>
            <w:pPr>
              <w:spacing w:after="0"/>
              <w:rPr>
                <w:sz w:val="17"/>
                <w:szCs w:val="17"/>
                <w:color w:val="auto"/>
              </w:rPr>
            </w:pPr>
          </w:p>
        </w:tc>
      </w:tr>
      <w:tr>
        <w:trPr>
          <w:trHeight w:val="207"/>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Multi-asset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Alternatives</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2,709.2</w:t>
            </w:r>
          </w:p>
        </w:tc>
        <w:tc>
          <w:tcPr>
            <w:tcW w:w="40" w:type="dxa"/>
            <w:vAlign w:val="bottom"/>
            <w:tcBorders>
              <w:bottom w:val="single" w:sz="8" w:color="auto"/>
            </w:tcBorders>
            <w:shd w:val="clear" w:color="auto" w:fill="CCEEFF"/>
          </w:tcPr>
          <w:p>
            <w:pPr>
              <w:spacing w:after="0"/>
              <w:rPr>
                <w:sz w:val="17"/>
                <w:szCs w:val="17"/>
                <w:color w:val="auto"/>
              </w:rPr>
            </w:pPr>
          </w:p>
        </w:tc>
      </w:tr>
      <w:tr>
        <w:trPr>
          <w:trHeight w:val="240"/>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Total investment advisory revenues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1,809.7</w:t>
            </w:r>
          </w:p>
        </w:tc>
        <w:tc>
          <w:tcPr>
            <w:tcW w:w="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5,969.1</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7,098.1</w:t>
            </w:r>
          </w:p>
        </w:tc>
        <w:tc>
          <w:tcPr>
            <w:tcW w:w="40" w:type="dxa"/>
            <w:vAlign w:val="bottom"/>
            <w:tcBorders>
              <w:bottom w:val="single" w:sz="8" w:color="auto"/>
            </w:tcBorders>
          </w:tcPr>
          <w:p>
            <w:pPr>
              <w:spacing w:after="0"/>
              <w:rPr>
                <w:sz w:val="20"/>
                <w:szCs w:val="20"/>
                <w:color w:val="auto"/>
              </w:rPr>
            </w:pPr>
          </w:p>
        </w:tc>
      </w:tr>
      <w:tr>
        <w:trPr>
          <w:trHeight w:val="332"/>
        </w:trPr>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3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gridSpan w:val="6"/>
            <w:shd w:val="clear" w:color="auto" w:fill="CCEEFF"/>
          </w:tcPr>
          <w:p>
            <w:pPr>
              <w:ind w:left="580"/>
              <w:spacing w:after="0"/>
              <w:rPr>
                <w:sz w:val="20"/>
                <w:szCs w:val="20"/>
                <w:color w:val="auto"/>
              </w:rPr>
            </w:pPr>
            <w:r>
              <w:rPr>
                <w:rFonts w:ascii="Arial" w:cs="Arial" w:eastAsia="Arial" w:hAnsi="Arial"/>
                <w:sz w:val="14"/>
                <w:szCs w:val="14"/>
                <w:color w:val="auto"/>
              </w:rPr>
              <w:t>Average during</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color w:val="auto"/>
              </w:rPr>
              <w:t>Year ended</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color w:val="auto"/>
              </w:rPr>
              <w:t>As of</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12/31/2022</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12/31/2021</w:t>
            </w:r>
          </w:p>
        </w:tc>
        <w:tc>
          <w:tcPr>
            <w:tcW w:w="40" w:type="dxa"/>
            <w:vAlign w:val="bottom"/>
          </w:tcPr>
          <w:p>
            <w:pPr>
              <w:spacing w:after="0"/>
              <w:rPr>
                <w:sz w:val="17"/>
                <w:szCs w:val="17"/>
                <w:color w:val="auto"/>
              </w:rPr>
            </w:pPr>
          </w:p>
        </w:tc>
      </w:tr>
      <w:tr>
        <w:trPr>
          <w:trHeight w:val="178"/>
        </w:trPr>
        <w:tc>
          <w:tcPr>
            <w:tcW w:w="6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540.4</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369.8</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553.9</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86.4</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232.2</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856.6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627.8</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871.4</w:t>
            </w:r>
          </w:p>
        </w:tc>
        <w:tc>
          <w:tcPr>
            <w:tcW w:w="40" w:type="dxa"/>
            <w:vAlign w:val="bottom"/>
          </w:tcPr>
          <w:p>
            <w:pPr>
              <w:spacing w:after="0"/>
              <w:rPr>
                <w:sz w:val="17"/>
                <w:szCs w:val="17"/>
                <w:color w:val="auto"/>
              </w:rPr>
            </w:pPr>
          </w:p>
        </w:tc>
      </w:tr>
      <w:tr>
        <w:trPr>
          <w:trHeight w:val="78"/>
        </w:trPr>
        <w:tc>
          <w:tcPr>
            <w:tcW w:w="60" w:type="dxa"/>
            <w:vAlign w:val="bottom"/>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149"/>
        </w:trPr>
        <w:tc>
          <w:tcPr>
            <w:tcW w:w="60" w:type="dxa"/>
            <w:vAlign w:val="bottom"/>
          </w:tcPr>
          <w:p>
            <w:pPr>
              <w:spacing w:after="0"/>
              <w:rPr>
                <w:sz w:val="12"/>
                <w:szCs w:val="12"/>
                <w:color w:val="auto"/>
              </w:rPr>
            </w:pPr>
          </w:p>
        </w:tc>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Subadvised funds, separate accounts, collective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investment trusts, and other investment products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431.6</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245.5</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Alternatives</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692.7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816.4</w:t>
            </w:r>
          </w:p>
        </w:tc>
        <w:tc>
          <w:tcPr>
            <w:tcW w:w="40" w:type="dxa"/>
            <w:vAlign w:val="bottom"/>
          </w:tcPr>
          <w:p>
            <w:pPr>
              <w:spacing w:after="0"/>
              <w:rPr>
                <w:sz w:val="17"/>
                <w:szCs w:val="17"/>
                <w:color w:val="auto"/>
              </w:rPr>
            </w:pPr>
          </w:p>
        </w:tc>
      </w:tr>
      <w:tr>
        <w:trPr>
          <w:trHeight w:val="240"/>
        </w:trPr>
        <w:tc>
          <w:tcPr>
            <w:tcW w:w="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Total assets under management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1,599.3</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1,687.8</w:t>
            </w:r>
          </w:p>
        </w:tc>
        <w:tc>
          <w:tcPr>
            <w:tcW w:w="4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annualized effective fee rates for the year ended December 31, 2022 and 2021.</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Annualized effective fee rates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5"/>
            <w:vMerge w:val="restart"/>
            <w:shd w:val="clear" w:color="auto" w:fill="CCEEFF"/>
          </w:tcPr>
          <w:p>
            <w:pPr>
              <w:ind w:left="780"/>
              <w:spacing w:after="0"/>
              <w:rPr>
                <w:sz w:val="20"/>
                <w:szCs w:val="20"/>
                <w:color w:val="auto"/>
              </w:rPr>
            </w:pPr>
            <w:r>
              <w:rPr>
                <w:rFonts w:ascii="Arial" w:cs="Arial" w:eastAsia="Arial" w:hAnsi="Arial"/>
                <w:sz w:val="14"/>
                <w:szCs w:val="14"/>
                <w:color w:val="auto"/>
              </w:rPr>
              <w:t>Three months ended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color w:val="auto"/>
              </w:rPr>
              <w:t>Year ended</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basis points)</w:t>
            </w: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5"/>
            <w:vMerge w:val="continue"/>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3"/>
            <w:vMerge w:val="continue"/>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Arial" w:cs="Arial" w:eastAsia="Arial" w:hAnsi="Arial"/>
                <w:sz w:val="14"/>
                <w:szCs w:val="14"/>
                <w:color w:val="auto"/>
              </w:rPr>
              <w:t>12/31/2022</w:t>
            </w:r>
          </w:p>
        </w:tc>
        <w:tc>
          <w:tcPr>
            <w:tcW w:w="100" w:type="dxa"/>
            <w:vAlign w:val="bottom"/>
          </w:tcPr>
          <w:p>
            <w:pPr>
              <w:spacing w:after="0"/>
              <w:rPr>
                <w:sz w:val="16"/>
                <w:szCs w:val="16"/>
                <w:color w:val="auto"/>
              </w:rPr>
            </w:pP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12/31/2021</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6"/>
                <w:szCs w:val="16"/>
                <w:color w:val="auto"/>
              </w:rPr>
            </w:pPr>
          </w:p>
        </w:tc>
        <w:tc>
          <w:tcPr>
            <w:tcW w:w="860" w:type="dxa"/>
            <w:vAlign w:val="bottom"/>
          </w:tcPr>
          <w:p>
            <w:pPr>
              <w:jc w:val="right"/>
              <w:ind w:right="65"/>
              <w:spacing w:after="0"/>
              <w:rPr>
                <w:sz w:val="20"/>
                <w:szCs w:val="20"/>
                <w:color w:val="auto"/>
              </w:rPr>
            </w:pPr>
            <w:r>
              <w:rPr>
                <w:rFonts w:ascii="Arial" w:cs="Arial" w:eastAsia="Arial" w:hAnsi="Arial"/>
                <w:sz w:val="14"/>
                <w:szCs w:val="14"/>
                <w:color w:val="auto"/>
              </w:rPr>
              <w:t>9/30/2022</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6"/>
                <w:szCs w:val="16"/>
                <w:color w:val="auto"/>
              </w:rPr>
            </w:pPr>
          </w:p>
        </w:tc>
        <w:tc>
          <w:tcPr>
            <w:tcW w:w="860" w:type="dxa"/>
            <w:vAlign w:val="bottom"/>
          </w:tcPr>
          <w:p>
            <w:pPr>
              <w:jc w:val="right"/>
              <w:ind w:right="65"/>
              <w:spacing w:after="0"/>
              <w:rPr>
                <w:sz w:val="20"/>
                <w:szCs w:val="20"/>
                <w:color w:val="auto"/>
              </w:rPr>
            </w:pPr>
            <w:r>
              <w:rPr>
                <w:rFonts w:ascii="Arial" w:cs="Arial" w:eastAsia="Arial" w:hAnsi="Arial"/>
                <w:sz w:val="14"/>
                <w:szCs w:val="14"/>
                <w:color w:val="auto"/>
                <w:w w:val="99"/>
              </w:rPr>
              <w:t>12/31/2022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4"/>
                <w:szCs w:val="14"/>
                <w:color w:val="auto"/>
              </w:rPr>
              <w:t>12/31/2021</w:t>
            </w:r>
          </w:p>
        </w:tc>
        <w:tc>
          <w:tcPr>
            <w:tcW w:w="10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advisory fee rate</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line="153" w:lineRule="exact"/>
              <w:rPr>
                <w:sz w:val="20"/>
                <w:szCs w:val="20"/>
                <w:color w:val="auto"/>
              </w:rPr>
            </w:pPr>
            <w:r>
              <w:rPr>
                <w:rFonts w:ascii="Arial" w:cs="Arial" w:eastAsia="Arial" w:hAnsi="Arial"/>
                <w:sz w:val="14"/>
                <w:szCs w:val="14"/>
                <w:color w:val="auto"/>
              </w:rPr>
              <w:t>Investment advisory fee rate, including capital</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3"/>
                <w:szCs w:val="13"/>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1.4 %</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42.3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color w:val="auto"/>
              </w:rPr>
              <w:t>allocation-based income</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Total effective fee rate including capital</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allocation-based income (loss) and excluding</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acquisition-related amortization and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43.4</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43.0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66" w:right="339" w:bottom="1440" w:gutter="0" w:footer="0" w:header="0"/>
        </w:sectPr>
      </w:pPr>
    </w:p>
    <w:bookmarkStart w:id="15" w:name="page16"/>
    <w:bookmarkEnd w:id="15"/>
    <w:p>
      <w:pPr>
        <w:ind w:right="200"/>
        <w:spacing w:after="0" w:line="355" w:lineRule="auto"/>
        <w:rPr>
          <w:sz w:val="20"/>
          <w:szCs w:val="20"/>
          <w:color w:val="auto"/>
        </w:rPr>
      </w:pPr>
      <w:r>
        <w:rPr>
          <w:rFonts w:ascii="Arial" w:cs="Arial" w:eastAsia="Arial" w:hAnsi="Arial"/>
          <w:sz w:val="18"/>
          <w:szCs w:val="18"/>
          <w:color w:val="auto"/>
        </w:rPr>
        <w:t>The components of the change in assets under management, by vehicle and asset class, are shown in the tables below for the year ended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7"/>
            <w:shd w:val="clear" w:color="auto" w:fill="CCEEFF"/>
          </w:tcPr>
          <w:p>
            <w:pPr>
              <w:jc w:val="right"/>
              <w:spacing w:after="0"/>
              <w:rPr>
                <w:sz w:val="20"/>
                <w:szCs w:val="20"/>
                <w:color w:val="auto"/>
              </w:rPr>
            </w:pPr>
            <w:r>
              <w:rPr>
                <w:rFonts w:ascii="Arial" w:cs="Arial" w:eastAsia="Arial" w:hAnsi="Arial"/>
                <w:sz w:val="14"/>
                <w:szCs w:val="14"/>
                <w:color w:val="auto"/>
              </w:rPr>
              <w:t>Year ended 12/31/2022</w:t>
            </w: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spacing w:after="0" w:line="147" w:lineRule="exact"/>
              <w:rPr>
                <w:sz w:val="20"/>
                <w:szCs w:val="20"/>
                <w:color w:val="auto"/>
              </w:rPr>
            </w:pPr>
            <w:r>
              <w:rPr>
                <w:rFonts w:ascii="Arial" w:cs="Arial" w:eastAsia="Arial" w:hAnsi="Arial"/>
                <w:sz w:val="14"/>
                <w:szCs w:val="14"/>
                <w:color w:val="auto"/>
              </w:rPr>
              <w:t>Subadvised funds</w:t>
            </w:r>
          </w:p>
        </w:tc>
        <w:tc>
          <w:tcPr>
            <w:tcW w:w="80" w:type="dxa"/>
            <w:vAlign w:val="bottom"/>
          </w:tcPr>
          <w:p>
            <w:pPr>
              <w:spacing w:after="0"/>
              <w:rPr>
                <w:sz w:val="12"/>
                <w:szCs w:val="12"/>
                <w:color w:val="auto"/>
              </w:rPr>
            </w:pPr>
          </w:p>
        </w:tc>
        <w:tc>
          <w:tcPr>
            <w:tcW w:w="1540" w:type="dxa"/>
            <w:vAlign w:val="bottom"/>
            <w:gridSpan w:val="5"/>
          </w:tcPr>
          <w:p>
            <w:pPr>
              <w:jc w:val="center"/>
              <w:ind w:right="60"/>
              <w:spacing w:after="0" w:line="147" w:lineRule="exact"/>
              <w:rPr>
                <w:sz w:val="20"/>
                <w:szCs w:val="20"/>
                <w:color w:val="auto"/>
              </w:rPr>
            </w:pPr>
            <w:r>
              <w:rPr>
                <w:rFonts w:ascii="Arial" w:cs="Arial" w:eastAsia="Arial" w:hAnsi="Arial"/>
                <w:sz w:val="14"/>
                <w:szCs w:val="14"/>
                <w:color w:val="auto"/>
              </w:rPr>
              <w:t>Collective investment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80" w:type="dxa"/>
            <w:vAlign w:val="bottom"/>
            <w:vMerge w:val="restart"/>
          </w:tcPr>
          <w:p>
            <w:pPr>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520" w:type="dxa"/>
            <w:vAlign w:val="bottom"/>
            <w:gridSpan w:val="4"/>
            <w:vMerge w:val="restart"/>
          </w:tcPr>
          <w:p>
            <w:pPr>
              <w:ind w:left="140"/>
              <w:spacing w:after="0"/>
              <w:rPr>
                <w:sz w:val="20"/>
                <w:szCs w:val="20"/>
                <w:color w:val="auto"/>
              </w:rPr>
            </w:pPr>
            <w:r>
              <w:rPr>
                <w:rFonts w:ascii="Arial" w:cs="Arial" w:eastAsia="Arial" w:hAnsi="Arial"/>
                <w:sz w:val="14"/>
                <w:szCs w:val="14"/>
                <w:color w:val="auto"/>
              </w:rPr>
              <w:t>U.S. mutual funds</w:t>
            </w:r>
          </w:p>
        </w:tc>
        <w:tc>
          <w:tcPr>
            <w:tcW w:w="300" w:type="dxa"/>
            <w:vAlign w:val="bottom"/>
          </w:tcPr>
          <w:p>
            <w:pPr>
              <w:spacing w:after="0"/>
              <w:rPr>
                <w:sz w:val="12"/>
                <w:szCs w:val="12"/>
                <w:color w:val="auto"/>
              </w:rPr>
            </w:pPr>
          </w:p>
        </w:tc>
        <w:tc>
          <w:tcPr>
            <w:tcW w:w="114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rPr>
              <w:t>and separate</w:t>
            </w:r>
          </w:p>
        </w:tc>
        <w:tc>
          <w:tcPr>
            <w:tcW w:w="80" w:type="dxa"/>
            <w:vAlign w:val="bottom"/>
          </w:tcPr>
          <w:p>
            <w:pPr>
              <w:spacing w:after="0"/>
              <w:rPr>
                <w:sz w:val="12"/>
                <w:szCs w:val="12"/>
                <w:color w:val="auto"/>
              </w:rPr>
            </w:pPr>
          </w:p>
        </w:tc>
        <w:tc>
          <w:tcPr>
            <w:tcW w:w="1540" w:type="dxa"/>
            <w:vAlign w:val="bottom"/>
            <w:gridSpan w:val="5"/>
          </w:tcPr>
          <w:p>
            <w:pPr>
              <w:jc w:val="center"/>
              <w:ind w:right="60"/>
              <w:spacing w:after="0" w:line="145" w:lineRule="exact"/>
              <w:rPr>
                <w:sz w:val="20"/>
                <w:szCs w:val="20"/>
                <w:color w:val="auto"/>
              </w:rPr>
            </w:pPr>
            <w:r>
              <w:rPr>
                <w:rFonts w:ascii="Arial" w:cs="Arial" w:eastAsia="Arial" w:hAnsi="Arial"/>
                <w:sz w:val="14"/>
                <w:szCs w:val="14"/>
                <w:color w:val="auto"/>
              </w:rPr>
              <w:t>trusts and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accounts</w:t>
            </w:r>
          </w:p>
        </w:tc>
        <w:tc>
          <w:tcPr>
            <w:tcW w:w="80" w:type="dxa"/>
            <w:vAlign w:val="bottom"/>
          </w:tcPr>
          <w:p>
            <w:pPr>
              <w:spacing w:after="0"/>
              <w:rPr>
                <w:sz w:val="16"/>
                <w:szCs w:val="16"/>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4"/>
                <w:szCs w:val="14"/>
                <w:color w:val="auto"/>
              </w:rPr>
              <w:t>investment products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ind w:right="8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before client transfers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Client transfers</w:t>
            </w: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after client transfers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distributions not reinvested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(116.6)</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8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 under management at December 31, 2022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gridSpan w:val="6"/>
            <w:shd w:val="clear" w:color="auto" w:fill="CCEEFF"/>
          </w:tcPr>
          <w:p>
            <w:pPr>
              <w:ind w:left="280"/>
              <w:spacing w:after="0"/>
              <w:rPr>
                <w:sz w:val="20"/>
                <w:szCs w:val="20"/>
                <w:color w:val="auto"/>
              </w:rPr>
            </w:pPr>
            <w:r>
              <w:rPr>
                <w:rFonts w:ascii="Arial" w:cs="Arial" w:eastAsia="Arial" w:hAnsi="Arial"/>
                <w:sz w:val="14"/>
                <w:szCs w:val="14"/>
                <w:color w:val="auto"/>
              </w:rPr>
              <w:t>Year ended 12/31/2022</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5"/>
          </w:tcPr>
          <w:p>
            <w:pPr>
              <w:jc w:val="center"/>
              <w:ind w:right="80"/>
              <w:spacing w:after="0" w:line="151" w:lineRule="exact"/>
              <w:rPr>
                <w:sz w:val="20"/>
                <w:szCs w:val="20"/>
                <w:color w:val="auto"/>
              </w:rPr>
            </w:pPr>
            <w:r>
              <w:rPr>
                <w:rFonts w:ascii="Arial" w:cs="Arial" w:eastAsia="Arial" w:hAnsi="Arial"/>
                <w:sz w:val="14"/>
                <w:szCs w:val="14"/>
                <w:color w:val="auto"/>
              </w:rPr>
              <w:t>Fixed income,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4"/>
                <w:szCs w:val="14"/>
                <w:color w:val="auto"/>
              </w:rPr>
              <w:t>Equity</w:t>
            </w:r>
          </w:p>
        </w:tc>
        <w:tc>
          <w:tcPr>
            <w:tcW w:w="80" w:type="dxa"/>
            <w:vAlign w:val="bottom"/>
          </w:tcPr>
          <w:p>
            <w:pPr>
              <w:spacing w:after="0"/>
              <w:rPr>
                <w:sz w:val="12"/>
                <w:szCs w:val="12"/>
                <w:color w:val="auto"/>
              </w:rPr>
            </w:pPr>
          </w:p>
        </w:tc>
        <w:tc>
          <w:tcPr>
            <w:tcW w:w="152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rPr>
              <w:t>including money</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Multi-asset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8"/>
              </w:rPr>
              <w:t>Alternatives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424"/>
              <w:spacing w:after="0"/>
              <w:rPr>
                <w:sz w:val="20"/>
                <w:szCs w:val="20"/>
                <w:color w:val="auto"/>
              </w:rPr>
            </w:pPr>
            <w:r>
              <w:rPr>
                <w:rFonts w:ascii="Arial" w:cs="Arial" w:eastAsia="Arial" w:hAnsi="Arial"/>
                <w:sz w:val="14"/>
                <w:szCs w:val="14"/>
                <w:color w:val="auto"/>
              </w:rPr>
              <w:t>market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992.7</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175.7</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Assets under management at December 31, 2022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664.2</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167.0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43.4</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components of net cash flows after client transfers, by vehicle and asset class, are shown in the table below for the three months and year ended December 31,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Three months</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85"/>
        </w:trPr>
        <w:tc>
          <w:tcPr>
            <w:tcW w:w="8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ended</w:t>
            </w: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rPr>
              <w:t>12/31/2022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12/31/2022</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0"/>
        </w:trPr>
        <w:tc>
          <w:tcPr>
            <w:tcW w:w="8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78"/>
        </w:trPr>
        <w:tc>
          <w:tcPr>
            <w:tcW w:w="8720" w:type="dxa"/>
            <w:vAlign w:val="bottom"/>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Alternatives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8720" w:type="dxa"/>
            <w:vAlign w:val="bottom"/>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6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180" w:type="dxa"/>
            <w:vAlign w:val="bottom"/>
            <w:shd w:val="clear" w:color="auto" w:fill="CCEEFF"/>
          </w:tcPr>
          <w:p>
            <w:pPr>
              <w:spacing w:after="0"/>
              <w:rPr>
                <w:sz w:val="17"/>
                <w:szCs w:val="17"/>
                <w:color w:val="auto"/>
              </w:rPr>
            </w:pPr>
          </w:p>
        </w:tc>
        <w:tc>
          <w:tcPr>
            <w:tcW w:w="2460" w:type="dxa"/>
            <w:vAlign w:val="bottom"/>
            <w:tcBorders>
              <w:right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color w:val="auto"/>
              </w:rPr>
              <w:t>Three months ended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828"/>
              <w:spacing w:after="0"/>
              <w:rPr>
                <w:sz w:val="20"/>
                <w:szCs w:val="20"/>
                <w:color w:val="auto"/>
              </w:rPr>
            </w:pPr>
            <w:r>
              <w:rPr>
                <w:rFonts w:ascii="Arial" w:cs="Arial" w:eastAsia="Arial" w:hAnsi="Arial"/>
                <w:sz w:val="14"/>
                <w:szCs w:val="14"/>
                <w:color w:val="auto"/>
              </w:rPr>
              <w:t>Year ended</w:t>
            </w:r>
          </w:p>
        </w:tc>
      </w:tr>
      <w:tr>
        <w:trPr>
          <w:trHeight w:val="192"/>
        </w:trPr>
        <w:tc>
          <w:tcPr>
            <w:tcW w:w="6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12/31/2022</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12/31/2021</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12/31/2022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12/31/2021</w:t>
            </w:r>
          </w:p>
        </w:tc>
      </w:tr>
      <w:tr>
        <w:trPr>
          <w:trHeight w:val="187"/>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8"/>
        </w:trPr>
        <w:tc>
          <w:tcPr>
            <w:tcW w:w="600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198"/>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00"/>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w:t>
            </w:r>
          </w:p>
        </w:tc>
      </w:tr>
      <w:tr>
        <w:trPr>
          <w:trHeight w:val="199"/>
        </w:trPr>
        <w:tc>
          <w:tcPr>
            <w:tcW w:w="600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6000" w:type="dxa"/>
            <w:vAlign w:val="bottom"/>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07"/>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recognized upon deconsolidation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156.6</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215.8</w:t>
            </w:r>
          </w:p>
        </w:tc>
      </w:tr>
      <w:tr>
        <w:trPr>
          <w:trHeight w:val="198"/>
        </w:trPr>
        <w:tc>
          <w:tcPr>
            <w:tcW w:w="600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74.7</w:t>
            </w:r>
          </w:p>
        </w:tc>
      </w:t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40"/>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9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09435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40"/>
        <w:spacing w:after="0" w:line="231" w:lineRule="auto"/>
        <w:rPr>
          <w:sz w:val="20"/>
          <w:szCs w:val="20"/>
          <w:color w:val="auto"/>
        </w:rPr>
      </w:pPr>
      <w:r>
        <w:rPr>
          <w:rFonts w:ascii="Arial" w:cs="Arial" w:eastAsia="Arial" w:hAnsi="Arial"/>
          <w:sz w:val="14"/>
          <w:szCs w:val="14"/>
          <w:color w:val="auto"/>
        </w:rPr>
        <w:t>Cash provided by (used in) operating activities, including $285.4 of stock-based</w:t>
      </w:r>
    </w:p>
    <w:p>
      <w:pPr>
        <w:spacing w:after="0" w:line="1" w:lineRule="exact"/>
        <w:rPr>
          <w:sz w:val="20"/>
          <w:szCs w:val="20"/>
          <w:color w:val="auto"/>
        </w:rPr>
      </w:pPr>
    </w:p>
    <w:p>
      <w:pPr>
        <w:ind w:left="20" w:right="540"/>
        <w:spacing w:after="0" w:line="211" w:lineRule="auto"/>
        <w:rPr>
          <w:sz w:val="20"/>
          <w:szCs w:val="20"/>
          <w:color w:val="auto"/>
        </w:rPr>
      </w:pPr>
      <w:r>
        <w:rPr>
          <w:rFonts w:ascii="Arial" w:cs="Arial" w:eastAsia="Arial" w:hAnsi="Arial"/>
          <w:sz w:val="14"/>
          <w:szCs w:val="14"/>
          <w:color w:val="auto"/>
        </w:rPr>
        <w:t>compensation expense, $225.7 of depreciation expense, $420.1 of</w:t>
      </w:r>
    </w:p>
    <w:p>
      <w:pPr>
        <w:ind w:left="20"/>
        <w:spacing w:after="0" w:line="221" w:lineRule="auto"/>
        <w:rPr>
          <w:sz w:val="20"/>
          <w:szCs w:val="20"/>
          <w:color w:val="auto"/>
        </w:rPr>
      </w:pPr>
      <w:r>
        <w:rPr>
          <w:rFonts w:ascii="Arial" w:cs="Arial" w:eastAsia="Arial" w:hAnsi="Arial"/>
          <w:sz w:val="14"/>
          <w:szCs w:val="14"/>
          <w:color w:val="auto"/>
        </w:rPr>
        <w:t>amortization and impairments of</w:t>
      </w:r>
    </w:p>
    <w:p>
      <w:pPr>
        <w:spacing w:after="0" w:line="1" w:lineRule="exact"/>
        <w:rPr>
          <w:sz w:val="20"/>
          <w:szCs w:val="20"/>
          <w:color w:val="auto"/>
        </w:rPr>
      </w:pPr>
    </w:p>
    <w:p>
      <w:pPr>
        <w:ind w:left="20"/>
        <w:spacing w:after="0" w:line="211" w:lineRule="auto"/>
        <w:rPr>
          <w:sz w:val="20"/>
          <w:szCs w:val="20"/>
          <w:color w:val="auto"/>
        </w:rPr>
      </w:pPr>
      <w:r>
        <w:rPr>
          <w:rFonts w:ascii="Arial" w:cs="Arial" w:eastAsia="Arial" w:hAnsi="Arial"/>
          <w:sz w:val="14"/>
          <w:szCs w:val="14"/>
          <w:color w:val="auto"/>
        </w:rPr>
        <w:t>acquisition-related assets and retention arrangements, and $(161.2) of a fair value</w:t>
      </w:r>
    </w:p>
    <w:p>
      <w:pPr>
        <w:ind w:left="20" w:right="580"/>
        <w:spacing w:after="0" w:line="242" w:lineRule="auto"/>
        <w:rPr>
          <w:sz w:val="20"/>
          <w:szCs w:val="20"/>
          <w:color w:val="auto"/>
        </w:rPr>
      </w:pPr>
      <w:r>
        <w:rPr>
          <w:rFonts w:ascii="Arial" w:cs="Arial" w:eastAsia="Arial" w:hAnsi="Arial"/>
          <w:sz w:val="14"/>
          <w:szCs w:val="14"/>
          <w:color w:val="auto"/>
        </w:rPr>
        <w:t>remeasurement of the contingent consideration liability in 2022</w:t>
      </w:r>
    </w:p>
    <w:p>
      <w:pPr>
        <w:ind w:left="20" w:right="100"/>
        <w:spacing w:after="0" w:line="230" w:lineRule="auto"/>
        <w:rPr>
          <w:sz w:val="20"/>
          <w:szCs w:val="20"/>
          <w:color w:val="auto"/>
        </w:rPr>
      </w:pPr>
      <w:r>
        <w:rPr>
          <w:rFonts w:ascii="Arial" w:cs="Arial" w:eastAsia="Arial" w:hAnsi="Arial"/>
          <w:sz w:val="14"/>
          <w:szCs w:val="14"/>
          <w:color w:val="auto"/>
        </w:rPr>
        <w:t>Cash provided by (used in) investing activities, including $(237.6) for additions</w:t>
      </w:r>
    </w:p>
    <w:p>
      <w:pPr>
        <w:spacing w:after="0" w:line="1" w:lineRule="exact"/>
        <w:rPr>
          <w:sz w:val="20"/>
          <w:szCs w:val="20"/>
          <w:color w:val="auto"/>
        </w:rPr>
      </w:pPr>
    </w:p>
    <w:p>
      <w:pPr>
        <w:ind w:left="20" w:right="80"/>
        <w:spacing w:after="0" w:line="211" w:lineRule="auto"/>
        <w:rPr>
          <w:sz w:val="20"/>
          <w:szCs w:val="20"/>
          <w:color w:val="auto"/>
        </w:rPr>
      </w:pPr>
      <w:r>
        <w:rPr>
          <w:rFonts w:ascii="Arial" w:cs="Arial" w:eastAsia="Arial" w:hAnsi="Arial"/>
          <w:sz w:val="14"/>
          <w:szCs w:val="14"/>
          <w:color w:val="auto"/>
        </w:rPr>
        <w:t>to property, equipment and software, net, $(55.1) of purchases and $263.6 of</w:t>
      </w:r>
    </w:p>
    <w:p>
      <w:pPr>
        <w:ind w:left="20" w:right="320"/>
        <w:spacing w:after="0" w:line="242" w:lineRule="auto"/>
        <w:rPr>
          <w:sz w:val="20"/>
          <w:szCs w:val="20"/>
          <w:color w:val="auto"/>
        </w:rPr>
      </w:pPr>
      <w:r>
        <w:rPr>
          <w:rFonts w:ascii="Arial" w:cs="Arial" w:eastAsia="Arial" w:hAnsi="Arial"/>
          <w:sz w:val="14"/>
          <w:szCs w:val="14"/>
          <w:color w:val="auto"/>
        </w:rPr>
        <w:t>dispositions in investment products in 2022</w:t>
      </w:r>
    </w:p>
    <w:p>
      <w:pPr>
        <w:ind w:left="20" w:right="360"/>
        <w:spacing w:after="0" w:line="230" w:lineRule="auto"/>
        <w:rPr>
          <w:sz w:val="20"/>
          <w:szCs w:val="20"/>
          <w:color w:val="auto"/>
        </w:rPr>
      </w:pPr>
      <w:r>
        <w:rPr>
          <w:rFonts w:ascii="Arial" w:cs="Arial" w:eastAsia="Arial" w:hAnsi="Arial"/>
          <w:sz w:val="14"/>
          <w:szCs w:val="14"/>
          <w:color w:val="auto"/>
        </w:rPr>
        <w:t>Cash provided by (used in) financing activities, including T. Rowe Price</w:t>
      </w:r>
    </w:p>
    <w:p>
      <w:pPr>
        <w:spacing w:after="0" w:line="1" w:lineRule="exact"/>
        <w:rPr>
          <w:sz w:val="20"/>
          <w:szCs w:val="20"/>
          <w:color w:val="auto"/>
        </w:rPr>
      </w:pPr>
    </w:p>
    <w:p>
      <w:pPr>
        <w:ind w:left="20" w:right="220"/>
        <w:spacing w:after="0" w:line="231" w:lineRule="auto"/>
        <w:rPr>
          <w:sz w:val="20"/>
          <w:szCs w:val="20"/>
          <w:color w:val="auto"/>
        </w:rPr>
      </w:pPr>
      <w:r>
        <w:rPr>
          <w:rFonts w:ascii="Arial" w:cs="Arial" w:eastAsia="Arial" w:hAnsi="Arial"/>
          <w:sz w:val="14"/>
          <w:szCs w:val="14"/>
          <w:color w:val="auto"/>
        </w:rPr>
        <w:t>common stock repurchases of $849.8* and dividends paid of $1,107.4 in 2022</w:t>
      </w:r>
    </w:p>
    <w:p>
      <w:pPr>
        <w:spacing w:after="0" w:line="14" w:lineRule="exact"/>
        <w:rPr>
          <w:sz w:val="20"/>
          <w:szCs w:val="20"/>
          <w:color w:val="auto"/>
        </w:rPr>
      </w:pPr>
    </w:p>
    <w:p>
      <w:pPr>
        <w:ind w:left="20" w:right="80"/>
        <w:spacing w:after="0" w:line="252"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 w:lineRule="exact"/>
        <w:rPr>
          <w:sz w:val="20"/>
          <w:szCs w:val="20"/>
          <w:color w:val="auto"/>
        </w:rPr>
      </w:pPr>
    </w:p>
    <w:p>
      <w:pPr>
        <w:ind w:left="20" w:right="80"/>
        <w:spacing w:after="0" w:line="263"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12/31/2022</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12/31/2021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rPr>
              <w:t>Cash flow</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rPr>
              <w:t>Cash flow</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attributable to</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attributable to</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consolidated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consolidated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T. Rowe Price</w:t>
            </w: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As reported on</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T. Rowe Price</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48"/>
        </w:trPr>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investment</w:t>
            </w:r>
          </w:p>
        </w:tc>
        <w:tc>
          <w:tcPr>
            <w:tcW w:w="15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investment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products, net of</w:t>
            </w:r>
          </w:p>
        </w:tc>
        <w:tc>
          <w:tcPr>
            <w:tcW w:w="15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statement of cash</w:t>
            </w: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attributable to T.</w:t>
            </w: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products, net of</w:t>
            </w:r>
          </w:p>
        </w:tc>
        <w:tc>
          <w:tcPr>
            <w:tcW w:w="1300" w:type="dxa"/>
            <w:vAlign w:val="bottom"/>
          </w:tcPr>
          <w:p>
            <w:pPr>
              <w:jc w:val="center"/>
              <w:spacing w:after="0" w:line="145" w:lineRule="exact"/>
              <w:rPr>
                <w:sz w:val="20"/>
                <w:szCs w:val="20"/>
                <w:color w:val="auto"/>
              </w:rPr>
            </w:pPr>
            <w:r>
              <w:rPr>
                <w:rFonts w:ascii="Arial" w:cs="Arial" w:eastAsia="Arial" w:hAnsi="Arial"/>
                <w:sz w:val="14"/>
                <w:szCs w:val="14"/>
                <w:color w:val="auto"/>
              </w:rPr>
              <w:t>statement of cash</w:t>
            </w:r>
          </w:p>
        </w:tc>
        <w:tc>
          <w:tcPr>
            <w:tcW w:w="0" w:type="dxa"/>
            <w:vAlign w:val="bottom"/>
          </w:tcPr>
          <w:p>
            <w:pPr>
              <w:spacing w:after="0"/>
              <w:rPr>
                <w:sz w:val="1"/>
                <w:szCs w:val="1"/>
                <w:color w:val="auto"/>
              </w:rPr>
            </w:pPr>
          </w:p>
        </w:tc>
      </w:tr>
      <w:tr>
        <w:trPr>
          <w:trHeight w:val="189"/>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flows</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2,477.7</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2,359.4</w:t>
            </w:r>
          </w:p>
        </w:tc>
        <w:tc>
          <w:tcPr>
            <w:tcW w:w="2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3,428.3</w:t>
            </w: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3,452.0</w:t>
            </w:r>
          </w:p>
        </w:tc>
      </w:tr>
      <w:tr>
        <w:trPr>
          <w:trHeight w:val="918"/>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(216.7)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(1,134.9)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(1,098.1)</w:t>
            </w:r>
          </w:p>
        </w:tc>
      </w:tr>
      <w:tr>
        <w:trPr>
          <w:trHeight w:val="635"/>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(2,028.5)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(2,076.9)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(2,922.0)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(2,988.8)</w:t>
            </w:r>
          </w:p>
        </w:tc>
      </w:tr>
      <w:tr>
        <w:trPr>
          <w:trHeight w:val="339"/>
        </w:trPr>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90"/>
        </w:trPr>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232.5</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250.5</w:t>
            </w:r>
          </w:p>
        </w:tc>
        <w:tc>
          <w:tcPr>
            <w:tcW w:w="2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(628.6)</w:t>
            </w:r>
          </w:p>
        </w:tc>
        <w:tc>
          <w:tcPr>
            <w:tcW w:w="1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(632.3)</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ectPr>
          <w:pgSz w:w="11900" w:h="16838" w:orient="portrait"/>
          <w:cols w:equalWidth="0" w:num="2">
            <w:col w:w="2720" w:space="20"/>
            <w:col w:w="850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58"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23495</wp:posOffset>
            </wp:positionV>
            <wp:extent cx="1791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8940" w:space="720"/>
            <w:col w:w="1520"/>
          </w:cols>
          <w:pgMar w:left="320" w:top="1062" w:right="39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Total other liabilities, includes $89.1 at December 31, 2022, and $51.5 at December 31, 2021, from consolidated sponsored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Non-controlling interests*</w:t>
      </w:r>
    </w:p>
    <w:p>
      <w:pPr>
        <w:spacing w:after="0" w:line="40" w:lineRule="exact"/>
        <w:rPr>
          <w:sz w:val="20"/>
          <w:szCs w:val="20"/>
          <w:color w:val="auto"/>
        </w:rPr>
      </w:pPr>
    </w:p>
    <w:p>
      <w:pPr>
        <w:ind w:left="20" w:right="1520"/>
        <w:spacing w:after="0" w:line="264" w:lineRule="auto"/>
        <w:rPr>
          <w:sz w:val="20"/>
          <w:szCs w:val="20"/>
          <w:color w:val="auto"/>
        </w:rPr>
      </w:pPr>
      <w:r>
        <w:rPr>
          <w:rFonts w:ascii="Arial" w:cs="Arial" w:eastAsia="Arial" w:hAnsi="Arial"/>
          <w:sz w:val="14"/>
          <w:szCs w:val="14"/>
          <w:color w:val="auto"/>
        </w:rPr>
        <w:t>Stockholders' equity attributable to T. Rowe Price Group, Inc., 224.3 common shares outstanding at December 31, 2022 and 229.2 common shares outstanding at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ind w:left="284"/>
        <w:spacing w:after="0"/>
        <w:rPr>
          <w:sz w:val="20"/>
          <w:szCs w:val="20"/>
          <w:color w:val="auto"/>
        </w:rPr>
      </w:pPr>
      <w:r>
        <w:rPr>
          <w:rFonts w:ascii="Arial" w:cs="Arial" w:eastAsia="Arial" w:hAnsi="Arial"/>
          <w:sz w:val="14"/>
          <w:szCs w:val="14"/>
          <w:color w:val="auto"/>
        </w:rPr>
        <w:t>12/31/2022</w:t>
      </w:r>
    </w:p>
    <w:p>
      <w:pPr>
        <w:spacing w:after="0" w:line="55" w:lineRule="exact"/>
        <w:rPr>
          <w:sz w:val="20"/>
          <w:szCs w:val="20"/>
          <w:color w:val="auto"/>
        </w:rPr>
      </w:pPr>
    </w:p>
    <w:p>
      <w:pPr>
        <w:ind w:left="764" w:hanging="764"/>
        <w:spacing w:after="0"/>
        <w:tabs>
          <w:tab w:leader="none" w:pos="764" w:val="left"/>
        </w:tabs>
        <w:numPr>
          <w:ilvl w:val="0"/>
          <w:numId w:val="17"/>
        </w:numPr>
        <w:rPr>
          <w:rFonts w:ascii="Arial" w:cs="Arial" w:eastAsia="Arial" w:hAnsi="Arial"/>
          <w:sz w:val="14"/>
          <w:szCs w:val="14"/>
          <w:color w:val="auto"/>
        </w:rPr>
      </w:pPr>
      <w:r>
        <w:rPr>
          <w:rFonts w:ascii="Arial" w:cs="Arial" w:eastAsia="Arial" w:hAnsi="Arial"/>
          <w:sz w:val="14"/>
          <w:szCs w:val="14"/>
          <w:color w:val="auto"/>
        </w:rPr>
        <w:t>1,755.6</w:t>
      </w:r>
    </w:p>
    <w:p>
      <w:pPr>
        <w:spacing w:after="0" w:line="41"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748.7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2,539.2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1,603.4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279.4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755.7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3,272.6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688.7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11,643.3</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761.2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95.8</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1,099.4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30" w:lineRule="exact"/>
        <w:rPr>
          <w:sz w:val="20"/>
          <w:szCs w:val="20"/>
          <w:color w:val="auto"/>
        </w:rPr>
      </w:pPr>
    </w:p>
    <w:p>
      <w:pPr>
        <w:ind w:left="764" w:hanging="764"/>
        <w:spacing w:after="0"/>
        <w:tabs>
          <w:tab w:leader="none" w:pos="764" w:val="left"/>
        </w:tabs>
        <w:numPr>
          <w:ilvl w:val="0"/>
          <w:numId w:val="18"/>
        </w:numPr>
        <w:rPr>
          <w:rFonts w:ascii="Arial" w:cs="Arial" w:eastAsia="Arial" w:hAnsi="Arial"/>
          <w:sz w:val="14"/>
          <w:szCs w:val="14"/>
          <w:color w:val="auto"/>
        </w:rPr>
      </w:pPr>
      <w:r>
        <w:rPr>
          <w:rFonts w:ascii="Arial" w:cs="Arial" w:eastAsia="Arial" w:hAnsi="Arial"/>
          <w:sz w:val="14"/>
          <w:szCs w:val="14"/>
          <w:color w:val="auto"/>
        </w:rPr>
        <w:t>8,839.5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6"/>
        <w:spacing w:after="0"/>
        <w:rPr>
          <w:sz w:val="20"/>
          <w:szCs w:val="20"/>
          <w:color w:val="auto"/>
        </w:rPr>
      </w:pPr>
      <w:r>
        <w:rPr>
          <w:rFonts w:ascii="Arial" w:cs="Arial" w:eastAsia="Arial" w:hAnsi="Arial"/>
          <w:sz w:val="14"/>
          <w:szCs w:val="14"/>
          <w:color w:val="auto"/>
        </w:rPr>
        <w:t>12/31/2021</w:t>
      </w:r>
    </w:p>
    <w:p>
      <w:pPr>
        <w:spacing w:after="0" w:line="55" w:lineRule="exact"/>
        <w:rPr>
          <w:sz w:val="20"/>
          <w:szCs w:val="20"/>
          <w:color w:val="auto"/>
        </w:rPr>
      </w:pPr>
    </w:p>
    <w:p>
      <w:pPr>
        <w:ind w:left="846" w:hanging="846"/>
        <w:spacing w:after="0"/>
        <w:tabs>
          <w:tab w:leader="none" w:pos="846" w:val="left"/>
        </w:tabs>
        <w:numPr>
          <w:ilvl w:val="0"/>
          <w:numId w:val="19"/>
        </w:numPr>
        <w:rPr>
          <w:rFonts w:ascii="Arial" w:cs="Arial" w:eastAsia="Arial" w:hAnsi="Arial"/>
          <w:sz w:val="14"/>
          <w:szCs w:val="14"/>
          <w:color w:val="auto"/>
        </w:rPr>
      </w:pPr>
      <w:r>
        <w:rPr>
          <w:rFonts w:ascii="Arial" w:cs="Arial" w:eastAsia="Arial" w:hAnsi="Arial"/>
          <w:sz w:val="14"/>
          <w:szCs w:val="14"/>
          <w:color w:val="auto"/>
        </w:rPr>
        <w:t>1,523.1</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1,058.3</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2,975.5</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1,962.8</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201.2</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736.2</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3,606.6</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445.3</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12,509.0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882.6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306.3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1,066.4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30" w:lineRule="exact"/>
        <w:rPr>
          <w:sz w:val="20"/>
          <w:szCs w:val="20"/>
          <w:color w:val="auto"/>
        </w:rPr>
      </w:pPr>
    </w:p>
    <w:p>
      <w:pPr>
        <w:ind w:left="846" w:hanging="846"/>
        <w:spacing w:after="0"/>
        <w:tabs>
          <w:tab w:leader="none" w:pos="846" w:val="left"/>
        </w:tabs>
        <w:numPr>
          <w:ilvl w:val="0"/>
          <w:numId w:val="20"/>
        </w:numPr>
        <w:rPr>
          <w:rFonts w:ascii="Arial" w:cs="Arial" w:eastAsia="Arial" w:hAnsi="Arial"/>
          <w:sz w:val="14"/>
          <w:szCs w:val="14"/>
          <w:color w:val="auto"/>
        </w:rPr>
      </w:pPr>
      <w:r>
        <w:rPr>
          <w:rFonts w:ascii="Arial" w:cs="Arial" w:eastAsia="Arial" w:hAnsi="Arial"/>
          <w:sz w:val="14"/>
          <w:szCs w:val="14"/>
          <w:color w:val="auto"/>
        </w:rPr>
        <w:t>9,022.7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19" w:lineRule="exact"/>
        <w:rPr>
          <w:sz w:val="20"/>
          <w:szCs w:val="20"/>
          <w:color w:val="auto"/>
        </w:rPr>
      </w:pPr>
    </w:p>
    <w:p>
      <w:pPr>
        <w:sectPr>
          <w:pgSz w:w="11900" w:h="16838" w:orient="portrait"/>
          <w:cols w:equalWidth="0" w:num="3">
            <w:col w:w="7860" w:space="576"/>
            <w:col w:w="1244" w:space="174"/>
            <w:col w:w="1326"/>
          </w:cols>
          <w:pgMar w:left="320" w:top="1062" w:right="399" w:bottom="1440" w:gutter="0" w:footer="0" w:header="0"/>
          <w:type w:val="continuous"/>
        </w:sectPr>
      </w:pP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Net assets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sponsored</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3"/>
                <w:szCs w:val="13"/>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2,205.3</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Seed capital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1,120.3</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redeemable investments in sponsored products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1,755.6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807.6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4,086.3</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Arial" w:cs="Arial" w:eastAsia="Arial" w:hAnsi="Arial"/>
                <w:sz w:val="14"/>
                <w:szCs w:val="14"/>
                <w:color w:val="auto"/>
              </w:rPr>
              <w:t>Investments in affiliates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Investments in CLOs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UTI and other 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investments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1,755.6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2,539.2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857.6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5,152.4</w:t>
            </w:r>
          </w:p>
        </w:tc>
        <w:tc>
          <w:tcPr>
            <w:tcW w:w="0" w:type="dxa"/>
            <w:vAlign w:val="bottom"/>
          </w:tcPr>
          <w:p>
            <w:pPr>
              <w:spacing w:after="0"/>
              <w:rPr>
                <w:sz w:val="1"/>
                <w:szCs w:val="1"/>
                <w:color w:val="auto"/>
              </w:rPr>
            </w:pPr>
          </w:p>
        </w:tc>
      </w:tr>
      <w:tr>
        <w:trPr>
          <w:trHeight w:val="204"/>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33"/>
        </w:trPr>
        <w:tc>
          <w:tcPr>
            <w:tcW w:w="5500" w:type="dxa"/>
            <w:vAlign w:val="bottom"/>
          </w:tcPr>
          <w:p>
            <w:pPr>
              <w:spacing w:after="0" w:line="133" w:lineRule="exact"/>
              <w:rPr>
                <w:sz w:val="20"/>
                <w:szCs w:val="20"/>
                <w:color w:val="auto"/>
              </w:rPr>
            </w:pPr>
            <w:r>
              <w:rPr>
                <w:rFonts w:ascii="Arial" w:cs="Arial" w:eastAsia="Arial" w:hAnsi="Arial"/>
                <w:sz w:val="14"/>
                <w:szCs w:val="14"/>
                <w:b w:val="1"/>
                <w:bCs w:val="1"/>
                <w:color w:val="auto"/>
              </w:rPr>
              <w:t>As reported on unaudited condensed consolidated balance sheet at December</w:t>
            </w:r>
          </w:p>
        </w:tc>
        <w:tc>
          <w:tcPr>
            <w:tcW w:w="2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1,755.6</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2,539.2</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1,514.3</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5,809.1</w:t>
            </w:r>
          </w:p>
        </w:tc>
        <w:tc>
          <w:tcPr>
            <w:tcW w:w="0" w:type="dxa"/>
            <w:vAlign w:val="bottom"/>
          </w:tcPr>
          <w:p>
            <w:pPr>
              <w:spacing w:after="0"/>
              <w:rPr>
                <w:sz w:val="1"/>
                <w:szCs w:val="1"/>
                <w:color w:val="auto"/>
              </w:rPr>
            </w:pPr>
          </w:p>
        </w:tc>
      </w:tr>
      <w:tr>
        <w:trPr>
          <w:trHeight w:val="163"/>
        </w:trPr>
        <w:tc>
          <w:tcPr>
            <w:tcW w:w="5500" w:type="dxa"/>
            <w:vAlign w:val="bottom"/>
          </w:tcPr>
          <w:p>
            <w:pPr>
              <w:spacing w:after="0" w:line="158" w:lineRule="exact"/>
              <w:rPr>
                <w:sz w:val="20"/>
                <w:szCs w:val="20"/>
                <w:color w:val="auto"/>
              </w:rPr>
            </w:pPr>
            <w:r>
              <w:rPr>
                <w:rFonts w:ascii="Arial" w:cs="Arial" w:eastAsia="Arial" w:hAnsi="Arial"/>
                <w:sz w:val="14"/>
                <w:szCs w:val="14"/>
                <w:b w:val="1"/>
                <w:bCs w:val="1"/>
                <w:color w:val="auto"/>
              </w:rPr>
              <w:t>31, 2022</w:t>
            </w:r>
          </w:p>
        </w:tc>
        <w:tc>
          <w:tcPr>
            <w:tcW w:w="24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80" w:right="300" w:hanging="172"/>
        <w:spacing w:after="0" w:line="237" w:lineRule="auto"/>
        <w:tabs>
          <w:tab w:leader="none" w:pos="153" w:val="left"/>
        </w:tabs>
        <w:numPr>
          <w:ilvl w:val="0"/>
          <w:numId w:val="2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$8.1 million and $799.5 million represent the total value at December 31, 2022, of T. Rowe Price's interest in the sponsored consolidated products. The total net assets of $1,514.3 million at December 31, 2022, includes assets of $1,603.4 million less liabilities of $53.2 million as reflected in the unaudited condensed consolidated balance sheet information table above.</w:t>
      </w:r>
    </w:p>
    <w:p>
      <w:pPr>
        <w:ind w:left="180" w:right="40" w:hanging="172"/>
        <w:spacing w:after="0" w:line="217" w:lineRule="auto"/>
        <w:tabs>
          <w:tab w:leader="none" w:pos="152"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i w:val="1"/>
          <w:iCs w:val="1"/>
          <w:color w:val="auto"/>
        </w:rPr>
        <w:t>Includes $190.7 million of non-controlling interests in consolidated entities and represents the portion of these investments, held by third parties, that we cannot sell in order to obtain cash for general operations.</w:t>
      </w:r>
    </w:p>
    <w:p>
      <w:pPr>
        <w:spacing w:after="0" w:line="374" w:lineRule="exact"/>
        <w:rPr>
          <w:sz w:val="20"/>
          <w:szCs w:val="20"/>
          <w:color w:val="auto"/>
        </w:rPr>
      </w:pPr>
    </w:p>
    <w:p>
      <w:pPr>
        <w:ind w:right="200"/>
        <w:spacing w:after="0" w:line="355" w:lineRule="auto"/>
        <w:rPr>
          <w:sz w:val="20"/>
          <w:szCs w:val="20"/>
          <w:color w:val="auto"/>
        </w:rPr>
      </w:pPr>
      <w:r>
        <w:rPr>
          <w:rFonts w:ascii="Arial" w:cs="Arial" w:eastAsia="Arial" w:hAnsi="Arial"/>
          <w:sz w:val="18"/>
          <w:szCs w:val="18"/>
          <w:color w:val="auto"/>
        </w:rPr>
        <w:t>The following tables detail changes in our investments in affiliated private investment funds - carried interest and non-controlling interest in consolidated entities for the three months and year ended December 31, 2022.</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8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Year ended</w:t>
            </w:r>
          </w:p>
        </w:tc>
      </w:tr>
      <w:tr>
        <w:trPr>
          <w:trHeight w:val="19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Investments in affiliated private investment funds - carried interest</w:t>
            </w: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609.8</w:t>
            </w: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accrued carried interest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r>
      <w:tr>
        <w:trPr>
          <w:trHeight w:val="198"/>
        </w:trPr>
        <w:tc>
          <w:tcPr>
            <w:tcW w:w="7820" w:type="dxa"/>
            <w:vAlign w:val="bottom"/>
          </w:tcPr>
          <w:p>
            <w:pPr>
              <w:ind w:left="200"/>
              <w:spacing w:after="0"/>
              <w:rPr>
                <w:sz w:val="20"/>
                <w:szCs w:val="20"/>
                <w:color w:val="auto"/>
              </w:rPr>
            </w:pPr>
            <w:r>
              <w:rPr>
                <w:rFonts w:ascii="Arial" w:cs="Arial" w:eastAsia="Arial" w:hAnsi="Arial"/>
                <w:sz w:val="14"/>
                <w:szCs w:val="14"/>
                <w:color w:val="auto"/>
              </w:rPr>
              <w:t>Acquisition related amortization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207"/>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impairment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realized distributions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1062" w:right="399" w:bottom="1440" w:gutter="0" w:footer="0" w:header="0"/>
          <w:type w:val="continuous"/>
        </w:sectPr>
      </w:pPr>
    </w:p>
    <w:bookmarkStart w:id="18" w:name="page19"/>
    <w:bookmarkEnd w:id="18"/>
    <w:tbl>
      <w:tblPr>
        <w:tblLayout w:type="fixed"/>
        <w:tblInd w:w="160" w:type="dxa"/>
        <w:tblCellMar>
          <w:top w:w="0" w:type="dxa"/>
          <w:left w:w="0" w:type="dxa"/>
          <w:bottom w:w="0" w:type="dxa"/>
          <w:right w:w="0" w:type="dxa"/>
        </w:tblCellMar>
      </w:tblPr>
      <w:tr>
        <w:trPr>
          <w:trHeight w:val="203"/>
        </w:trPr>
        <w:tc>
          <w:tcPr>
            <w:tcW w:w="78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Year ended</w:t>
            </w:r>
          </w:p>
        </w:tc>
      </w:tr>
      <w:tr>
        <w:trPr>
          <w:trHeight w:val="19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Non-controlling interests (NCI) in consolidated entities</w:t>
            </w: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248.7</w:t>
            </w:r>
          </w:p>
        </w:tc>
      </w:tr>
      <w:tr>
        <w:trPr>
          <w:trHeight w:val="199"/>
        </w:trPr>
        <w:tc>
          <w:tcPr>
            <w:tcW w:w="7820" w:type="dxa"/>
            <w:vAlign w:val="bottom"/>
          </w:tcPr>
          <w:p>
            <w:pPr>
              <w:ind w:left="20"/>
              <w:spacing w:after="0"/>
              <w:rPr>
                <w:sz w:val="20"/>
                <w:szCs w:val="20"/>
                <w:color w:val="auto"/>
              </w:rPr>
            </w:pPr>
            <w:r>
              <w:rPr>
                <w:rFonts w:ascii="Arial" w:cs="Arial" w:eastAsia="Arial" w:hAnsi="Arial"/>
                <w:sz w:val="14"/>
                <w:szCs w:val="14"/>
                <w:color w:val="auto"/>
              </w:rPr>
              <w:t>Capital allocation-based income compensation: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allocation-based income compensation</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r>
      <w:tr>
        <w:trPr>
          <w:trHeight w:val="199"/>
        </w:trPr>
        <w:tc>
          <w:tcPr>
            <w:tcW w:w="7820" w:type="dxa"/>
            <w:vAlign w:val="bottom"/>
          </w:tcPr>
          <w:p>
            <w:pPr>
              <w:ind w:left="200"/>
              <w:spacing w:after="0"/>
              <w:rPr>
                <w:sz w:val="20"/>
                <w:szCs w:val="20"/>
                <w:color w:val="auto"/>
              </w:rPr>
            </w:pPr>
            <w:r>
              <w:rPr>
                <w:rFonts w:ascii="Arial" w:cs="Arial" w:eastAsia="Arial" w:hAnsi="Arial"/>
                <w:sz w:val="14"/>
                <w:szCs w:val="14"/>
                <w:color w:val="auto"/>
              </w:rPr>
              <w:t>Acquisition related amortization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6"/>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impairment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9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distributions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47" w:lineRule="exact"/>
        <w:rPr>
          <w:sz w:val="20"/>
          <w:szCs w:val="20"/>
          <w:color w:val="auto"/>
        </w:rPr>
      </w:pPr>
    </w:p>
    <w:p>
      <w:pPr>
        <w:ind w:right="80"/>
        <w:spacing w:after="0" w:line="373"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1" w:lineRule="exact"/>
        <w:rPr>
          <w:sz w:val="20"/>
          <w:szCs w:val="20"/>
          <w:color w:val="auto"/>
        </w:rPr>
      </w:pPr>
    </w:p>
    <w:p>
      <w:pPr>
        <w:ind w:right="240"/>
        <w:spacing w:after="0" w:line="396"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December 31, 2022 and 2021 and September 30, 2022.</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 12/31/2022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revenues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Intangible assets amortization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impairments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3580" w:type="dxa"/>
            <w:vAlign w:val="bottom"/>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3"/>
        </w:trPr>
        <w:tc>
          <w:tcPr>
            <w:tcW w:w="35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058"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center"/>
              <w:ind w:left="8"/>
              <w:spacing w:after="0"/>
              <w:rPr>
                <w:sz w:val="20"/>
                <w:szCs w:val="20"/>
                <w:color w:val="auto"/>
              </w:rPr>
            </w:pPr>
            <w:r>
              <w:rPr>
                <w:rFonts w:ascii="Arial" w:cs="Arial" w:eastAsia="Arial" w:hAnsi="Arial"/>
                <w:sz w:val="14"/>
                <w:szCs w:val="14"/>
                <w:b w:val="1"/>
                <w:bCs w:val="1"/>
                <w:color w:val="auto"/>
              </w:rPr>
              <w:t>Three months ended 12/31/2021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Acquisition-related transaction costs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center"/>
              <w:ind w:left="8"/>
              <w:spacing w:after="0"/>
              <w:rPr>
                <w:sz w:val="20"/>
                <w:szCs w:val="20"/>
                <w:color w:val="auto"/>
              </w:rPr>
            </w:pPr>
            <w:r>
              <w:rPr>
                <w:rFonts w:ascii="Arial" w:cs="Arial" w:eastAsia="Arial" w:hAnsi="Arial"/>
                <w:sz w:val="14"/>
                <w:szCs w:val="14"/>
                <w:b w:val="1"/>
                <w:bCs w:val="1"/>
                <w:color w:val="auto"/>
              </w:rPr>
              <w:t>Three months ended 9/30/2022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revenues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Intangible assets amortization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impairments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80" w:top="1058"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schedules reconcile certain U.S. GAAP financial measures for the year ended December 31, 2022 and 2021.</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Year ended 12/31/2022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revenues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Intangible assets amortization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impairments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Year ended 12/31/2021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3,710.0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Acquisition-related transaction costs</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100" w:hanging="332"/>
        <w:spacing w:after="0" w:line="241" w:lineRule="auto"/>
        <w:tabs>
          <w:tab w:leader="none" w:pos="34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right="100" w:hanging="332"/>
        <w:spacing w:after="0" w:line="227" w:lineRule="auto"/>
        <w:tabs>
          <w:tab w:leader="none" w:pos="322"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 costs incurred related to the acquisition of OHA. Management believes adjusting for these charges helps the reader's ability to understand the firm's core operating results and to increase comparability period to period.</w:t>
      </w:r>
    </w:p>
    <w:p>
      <w:pPr>
        <w:spacing w:after="0" w:line="218" w:lineRule="exact"/>
        <w:rPr>
          <w:rFonts w:ascii="Arial" w:cs="Arial" w:eastAsia="Arial" w:hAnsi="Arial"/>
          <w:sz w:val="21"/>
          <w:szCs w:val="21"/>
          <w:color w:val="auto"/>
          <w:vertAlign w:val="superscript"/>
        </w:rPr>
      </w:pPr>
    </w:p>
    <w:p>
      <w:pPr>
        <w:ind w:left="340" w:hanging="332"/>
        <w:spacing w:after="0" w:line="239" w:lineRule="auto"/>
        <w:tabs>
          <w:tab w:leader="none" w:pos="34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12" w:right="339" w:bottom="1440" w:gutter="0" w:footer="0" w:header="0"/>
        </w:sectPr>
      </w:pPr>
    </w:p>
    <w:bookmarkStart w:id="21" w:name="page22"/>
    <w:bookmarkEnd w:id="21"/>
    <w:p>
      <w:pPr>
        <w:ind w:left="340" w:right="40"/>
        <w:spacing w:after="0" w:line="265" w:lineRule="auto"/>
        <w:rPr>
          <w:sz w:val="20"/>
          <w:szCs w:val="20"/>
          <w:color w:val="auto"/>
        </w:rPr>
      </w:pPr>
      <w:r>
        <w:rPr>
          <w:rFonts w:ascii="Arial" w:cs="Arial" w:eastAsia="Arial" w:hAnsi="Arial"/>
          <w:sz w:val="16"/>
          <w:szCs w:val="16"/>
          <w:color w:val="auto"/>
        </w:rPr>
        <w:t>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13" w:lineRule="exact"/>
        <w:rPr>
          <w:sz w:val="20"/>
          <w:szCs w:val="20"/>
          <w:color w:val="auto"/>
        </w:rPr>
      </w:pPr>
    </w:p>
    <w:p>
      <w:pPr>
        <w:ind w:left="340" w:right="100" w:hanging="332"/>
        <w:spacing w:after="0" w:line="243" w:lineRule="auto"/>
        <w:tabs>
          <w:tab w:leader="none" w:pos="341"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sponsored investment products have on the firm's U.S. GAAP consolidated statements of income. Specifically, the firm adds back the operating expenses and subtracts the investment income of the consolidated sponsored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sponsored investment products may impact the reader’s ability to understand the firm's core operating results.</w:t>
      </w:r>
    </w:p>
    <w:p>
      <w:pPr>
        <w:spacing w:after="0" w:line="229" w:lineRule="exact"/>
        <w:rPr>
          <w:rFonts w:ascii="Arial" w:cs="Arial" w:eastAsia="Arial" w:hAnsi="Arial"/>
          <w:sz w:val="22"/>
          <w:szCs w:val="22"/>
          <w:color w:val="auto"/>
          <w:vertAlign w:val="superscript"/>
        </w:rPr>
      </w:pPr>
    </w:p>
    <w:p>
      <w:pPr>
        <w:ind w:left="340" w:right="40" w:hanging="332"/>
        <w:spacing w:after="0" w:line="244" w:lineRule="auto"/>
        <w:tabs>
          <w:tab w:leader="none" w:pos="341"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14" w:lineRule="exact"/>
        <w:rPr>
          <w:rFonts w:ascii="Arial" w:cs="Arial" w:eastAsia="Arial" w:hAnsi="Arial"/>
          <w:sz w:val="22"/>
          <w:szCs w:val="22"/>
          <w:color w:val="auto"/>
          <w:vertAlign w:val="superscript"/>
        </w:rPr>
      </w:pPr>
    </w:p>
    <w:p>
      <w:pPr>
        <w:ind w:left="340" w:right="100" w:hanging="332"/>
        <w:spacing w:after="0" w:line="239" w:lineRule="auto"/>
        <w:tabs>
          <w:tab w:leader="none" w:pos="341"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24.7% for 2022 and 22.5% for 2021. As such, the non-GAAP effective tax rate for the three months ended December 31, 2022 and 2021 was 26.4% and 20.0%, respectively. The firm estimates that its effective tax rate for the full-year 2023 on a non-GAAP basis will be in the range of 24.5% to 27.5%.</w:t>
      </w:r>
    </w:p>
    <w:p>
      <w:pPr>
        <w:spacing w:after="0" w:line="218" w:lineRule="exact"/>
        <w:rPr>
          <w:rFonts w:ascii="Arial" w:cs="Arial" w:eastAsia="Arial" w:hAnsi="Arial"/>
          <w:sz w:val="22"/>
          <w:szCs w:val="22"/>
          <w:color w:val="auto"/>
          <w:vertAlign w:val="superscript"/>
        </w:rPr>
      </w:pPr>
    </w:p>
    <w:p>
      <w:pPr>
        <w:ind w:left="340" w:right="280" w:hanging="332"/>
        <w:spacing w:after="0" w:line="239" w:lineRule="auto"/>
        <w:tabs>
          <w:tab w:leader="none" w:pos="341"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3"/>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Year ended</w:t>
            </w:r>
          </w:p>
        </w:tc>
      </w:tr>
      <w:tr>
        <w:trPr>
          <w:trHeight w:val="195"/>
        </w:trPr>
        <w:tc>
          <w:tcPr>
            <w:tcW w:w="5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12/31/2022</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12/31/2021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9/30/2022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12/31/2022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12/31/2021</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2,995.3</w:t>
            </w: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2023-01-26T08:25:28Z</dcterms:created>
  <dcterms:modified xsi:type="dcterms:W3CDTF">2023-01-26T08:25:28Z</dcterms:modified>
</cp:coreProperties>
</file>